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61C" w:rsidRPr="005E561C" w:rsidRDefault="005E561C" w:rsidP="005E561C">
      <w:pPr>
        <w:spacing w:before="200" w:after="160" w:line="259" w:lineRule="auto"/>
        <w:ind w:left="864" w:right="864" w:firstLine="0"/>
        <w:jc w:val="center"/>
        <w:rPr>
          <w:rFonts w:asciiTheme="majorBidi" w:eastAsiaTheme="minorHAnsi" w:hAnsiTheme="majorBidi" w:cstheme="majorBidi"/>
          <w:b/>
          <w:bCs/>
          <w:i/>
          <w:iCs/>
          <w:color w:val="404040" w:themeColor="text1" w:themeTint="BF"/>
          <w:szCs w:val="28"/>
          <w:lang w:eastAsia="en-US"/>
        </w:rPr>
      </w:pPr>
      <w:r w:rsidRPr="005E561C">
        <w:rPr>
          <w:rFonts w:asciiTheme="majorBidi" w:eastAsiaTheme="minorHAnsi" w:hAnsiTheme="majorBidi" w:cstheme="majorBidi"/>
          <w:b/>
          <w:bCs/>
          <w:i/>
          <w:iCs/>
          <w:color w:val="404040" w:themeColor="text1" w:themeTint="BF"/>
          <w:szCs w:val="28"/>
          <w:lang w:eastAsia="en-US"/>
        </w:rPr>
        <w:t>République Algérienne Démocratique et Populaire</w:t>
      </w:r>
      <w:r w:rsidRPr="005E561C">
        <w:rPr>
          <w:rFonts w:asciiTheme="minorHAnsi" w:eastAsiaTheme="minorHAnsi" w:hAnsiTheme="minorHAnsi" w:cstheme="minorBidi"/>
          <w:i/>
          <w:iCs/>
          <w:color w:val="404040" w:themeColor="text1" w:themeTint="BF"/>
          <w:sz w:val="22"/>
          <w:lang w:eastAsia="en-US"/>
        </w:rPr>
        <w:t xml:space="preserve">                           </w:t>
      </w:r>
      <w:r w:rsidRPr="005E561C">
        <w:rPr>
          <w:rFonts w:asciiTheme="majorBidi" w:eastAsiaTheme="minorHAnsi" w:hAnsiTheme="majorBidi" w:cstheme="majorBidi"/>
          <w:b/>
          <w:bCs/>
          <w:i/>
          <w:iCs/>
          <w:color w:val="404040" w:themeColor="text1" w:themeTint="BF"/>
          <w:szCs w:val="28"/>
          <w:lang w:eastAsia="en-US"/>
        </w:rPr>
        <w:t>Ministère de l’enseignement supérieur et de la recherche scientifique</w:t>
      </w:r>
    </w:p>
    <w:p w:rsidR="005E561C" w:rsidRPr="005E561C" w:rsidRDefault="005E561C" w:rsidP="005E561C">
      <w:pPr>
        <w:spacing w:after="160" w:line="259" w:lineRule="auto"/>
        <w:ind w:right="0" w:firstLine="0"/>
        <w:jc w:val="center"/>
        <w:rPr>
          <w:rFonts w:asciiTheme="minorHAnsi" w:eastAsiaTheme="minorHAnsi" w:hAnsiTheme="minorHAnsi" w:cstheme="minorBidi"/>
          <w:i/>
          <w:iCs/>
          <w:color w:val="auto"/>
          <w:sz w:val="22"/>
          <w:lang w:eastAsia="en-US"/>
        </w:rPr>
      </w:pPr>
      <w:r w:rsidRPr="005E561C">
        <w:rPr>
          <w:rFonts w:asciiTheme="majorBidi" w:eastAsiaTheme="minorHAnsi" w:hAnsiTheme="majorBidi" w:cstheme="majorBidi"/>
          <w:b/>
          <w:bCs/>
          <w:i/>
          <w:iCs/>
          <w:color w:val="404040" w:themeColor="text1" w:themeTint="BF"/>
          <w:szCs w:val="28"/>
          <w:lang w:eastAsia="en-US"/>
        </w:rPr>
        <w:t>Centre Universitaire Abdelhafid Boussouf-Mila</w:t>
      </w:r>
    </w:p>
    <w:p w:rsidR="005E561C" w:rsidRPr="005E561C" w:rsidRDefault="005E561C" w:rsidP="005E561C">
      <w:pPr>
        <w:spacing w:before="200" w:after="160" w:line="259" w:lineRule="auto"/>
        <w:ind w:right="864" w:firstLine="0"/>
        <w:jc w:val="left"/>
        <w:rPr>
          <w:rFonts w:asciiTheme="majorBidi" w:eastAsiaTheme="minorHAnsi" w:hAnsiTheme="majorBidi" w:cstheme="majorBidi"/>
          <w:b/>
          <w:bCs/>
          <w:i/>
          <w:iCs/>
          <w:color w:val="404040" w:themeColor="text1" w:themeTint="BF"/>
          <w:szCs w:val="28"/>
          <w:u w:val="single"/>
          <w:lang w:eastAsia="en-US"/>
        </w:rPr>
      </w:pPr>
    </w:p>
    <w:p w:rsidR="005E561C" w:rsidRPr="005E561C" w:rsidRDefault="005E561C" w:rsidP="005E561C">
      <w:pPr>
        <w:spacing w:before="200" w:after="160" w:line="259" w:lineRule="auto"/>
        <w:ind w:left="864" w:right="864" w:firstLine="0"/>
        <w:jc w:val="center"/>
        <w:rPr>
          <w:rFonts w:asciiTheme="majorBidi" w:eastAsiaTheme="minorHAnsi" w:hAnsiTheme="majorBidi" w:cstheme="majorBidi"/>
          <w:b/>
          <w:bCs/>
          <w:i/>
          <w:iCs/>
          <w:color w:val="404040" w:themeColor="text1" w:themeTint="BF"/>
          <w:szCs w:val="28"/>
          <w:lang w:eastAsia="en-US"/>
        </w:rPr>
      </w:pPr>
      <w:r w:rsidRPr="005E561C">
        <w:rPr>
          <w:rFonts w:asciiTheme="majorBidi" w:eastAsiaTheme="minorHAnsi" w:hAnsiTheme="majorBidi" w:cstheme="majorBidi"/>
          <w:b/>
          <w:bCs/>
          <w:i/>
          <w:iCs/>
          <w:color w:val="404040" w:themeColor="text1" w:themeTint="BF"/>
          <w:szCs w:val="28"/>
          <w:lang w:eastAsia="en-US"/>
        </w:rPr>
        <w:t>Institut des lettres et des langues étrangères</w:t>
      </w:r>
    </w:p>
    <w:p w:rsidR="005E561C" w:rsidRPr="005E561C" w:rsidRDefault="005E561C" w:rsidP="005E561C">
      <w:pPr>
        <w:spacing w:before="200" w:after="160" w:line="259" w:lineRule="auto"/>
        <w:ind w:left="864" w:right="864" w:firstLine="0"/>
        <w:jc w:val="center"/>
        <w:rPr>
          <w:rFonts w:asciiTheme="majorBidi" w:eastAsiaTheme="minorHAnsi" w:hAnsiTheme="majorBidi" w:cstheme="majorBidi"/>
          <w:b/>
          <w:bCs/>
          <w:i/>
          <w:iCs/>
          <w:color w:val="404040" w:themeColor="text1" w:themeTint="BF"/>
          <w:szCs w:val="28"/>
          <w:lang w:eastAsia="en-US"/>
        </w:rPr>
      </w:pPr>
      <w:r w:rsidRPr="005E561C">
        <w:rPr>
          <w:rFonts w:asciiTheme="majorBidi" w:eastAsiaTheme="minorHAnsi" w:hAnsiTheme="majorBidi" w:cstheme="majorBidi"/>
          <w:b/>
          <w:bCs/>
          <w:i/>
          <w:iCs/>
          <w:color w:val="404040" w:themeColor="text1" w:themeTint="BF"/>
          <w:szCs w:val="28"/>
          <w:lang w:eastAsia="en-US"/>
        </w:rPr>
        <w:t>Département de français</w:t>
      </w:r>
    </w:p>
    <w:p w:rsidR="005E561C" w:rsidRPr="005E561C" w:rsidRDefault="005E561C" w:rsidP="005E561C">
      <w:pPr>
        <w:spacing w:before="200" w:after="160" w:line="259" w:lineRule="auto"/>
        <w:ind w:left="864" w:right="864" w:firstLine="0"/>
        <w:jc w:val="center"/>
        <w:rPr>
          <w:rFonts w:asciiTheme="majorBidi" w:eastAsiaTheme="minorHAnsi" w:hAnsiTheme="majorBidi" w:cstheme="majorBidi"/>
          <w:b/>
          <w:bCs/>
          <w:i/>
          <w:iCs/>
          <w:color w:val="404040" w:themeColor="text1" w:themeTint="BF"/>
          <w:szCs w:val="28"/>
          <w:u w:val="single"/>
          <w:lang w:eastAsia="en-US"/>
        </w:rPr>
      </w:pPr>
    </w:p>
    <w:p w:rsidR="005E561C" w:rsidRDefault="005E561C" w:rsidP="005E561C">
      <w:pPr>
        <w:spacing w:before="200" w:after="160" w:line="259" w:lineRule="auto"/>
        <w:ind w:right="864" w:firstLine="0"/>
        <w:rPr>
          <w:rFonts w:asciiTheme="majorBidi" w:eastAsiaTheme="minorHAnsi" w:hAnsiTheme="majorBidi" w:cstheme="majorBidi"/>
          <w:b/>
          <w:bCs/>
          <w:i/>
          <w:iCs/>
          <w:color w:val="404040" w:themeColor="text1" w:themeTint="BF"/>
          <w:szCs w:val="28"/>
          <w:u w:val="single"/>
          <w:lang w:eastAsia="en-US"/>
        </w:rPr>
      </w:pPr>
    </w:p>
    <w:p w:rsidR="005E561C" w:rsidRPr="005E561C" w:rsidRDefault="005E561C" w:rsidP="005E561C">
      <w:pPr>
        <w:spacing w:before="200" w:after="160" w:line="259" w:lineRule="auto"/>
        <w:ind w:right="864" w:firstLine="0"/>
        <w:rPr>
          <w:rFonts w:asciiTheme="majorBidi" w:eastAsiaTheme="minorHAnsi" w:hAnsiTheme="majorBidi" w:cstheme="majorBidi"/>
          <w:b/>
          <w:bCs/>
          <w:i/>
          <w:iCs/>
          <w:color w:val="404040" w:themeColor="text1" w:themeTint="BF"/>
          <w:szCs w:val="28"/>
          <w:u w:val="single"/>
          <w:lang w:eastAsia="en-US"/>
        </w:rPr>
      </w:pPr>
    </w:p>
    <w:p w:rsidR="005E561C" w:rsidRPr="005E561C" w:rsidRDefault="005E561C" w:rsidP="005E561C">
      <w:pPr>
        <w:spacing w:after="160" w:line="259" w:lineRule="auto"/>
        <w:ind w:right="0" w:firstLine="0"/>
        <w:jc w:val="left"/>
        <w:rPr>
          <w:rFonts w:asciiTheme="minorHAnsi" w:eastAsiaTheme="minorHAnsi" w:hAnsiTheme="minorHAnsi" w:cstheme="minorBidi"/>
          <w:color w:val="auto"/>
          <w:szCs w:val="28"/>
          <w:lang w:eastAsia="en-US"/>
        </w:rPr>
      </w:pPr>
    </w:p>
    <w:p w:rsidR="005E561C" w:rsidRPr="005E561C" w:rsidRDefault="005E561C" w:rsidP="005E561C">
      <w:pPr>
        <w:autoSpaceDE w:val="0"/>
        <w:autoSpaceDN w:val="0"/>
        <w:adjustRightInd w:val="0"/>
        <w:spacing w:after="0" w:line="60" w:lineRule="atLeast"/>
        <w:ind w:right="0" w:firstLine="0"/>
        <w:jc w:val="left"/>
        <w:rPr>
          <w:rFonts w:eastAsia="ArialMT"/>
          <w:b/>
          <w:bCs/>
          <w:color w:val="auto"/>
          <w:szCs w:val="28"/>
          <w:lang w:eastAsia="en-US"/>
        </w:rPr>
      </w:pPr>
      <w:r w:rsidRPr="005E561C">
        <w:rPr>
          <w:rFonts w:eastAsia="ArialMT"/>
          <w:b/>
          <w:bCs/>
          <w:color w:val="auto"/>
          <w:szCs w:val="28"/>
          <w:lang w:eastAsia="en-US"/>
        </w:rPr>
        <w:t>Niveau : L 1 / F</w:t>
      </w:r>
      <w:r w:rsidRPr="005E561C">
        <w:rPr>
          <w:rFonts w:eastAsia="ArialMT"/>
          <w:color w:val="auto"/>
          <w:szCs w:val="28"/>
          <w:lang w:eastAsia="en-US"/>
        </w:rPr>
        <w:t>rançais</w:t>
      </w:r>
    </w:p>
    <w:p w:rsidR="005E561C" w:rsidRPr="005E561C" w:rsidRDefault="005E561C" w:rsidP="005E561C">
      <w:pPr>
        <w:autoSpaceDE w:val="0"/>
        <w:autoSpaceDN w:val="0"/>
        <w:adjustRightInd w:val="0"/>
        <w:spacing w:after="0" w:line="60" w:lineRule="atLeast"/>
        <w:ind w:right="0" w:firstLine="0"/>
        <w:jc w:val="left"/>
        <w:rPr>
          <w:rFonts w:eastAsia="ArialMT"/>
          <w:b/>
          <w:bCs/>
          <w:color w:val="auto"/>
          <w:szCs w:val="28"/>
          <w:lang w:eastAsia="en-US"/>
        </w:rPr>
      </w:pPr>
      <w:r w:rsidRPr="005E561C">
        <w:rPr>
          <w:rFonts w:eastAsia="ArialMT"/>
          <w:b/>
          <w:bCs/>
          <w:color w:val="auto"/>
          <w:szCs w:val="28"/>
          <w:lang w:eastAsia="en-US"/>
        </w:rPr>
        <w:t>Module : S</w:t>
      </w:r>
      <w:r w:rsidRPr="005E561C">
        <w:rPr>
          <w:rFonts w:eastAsia="ArialMT"/>
          <w:color w:val="auto"/>
          <w:szCs w:val="28"/>
          <w:lang w:eastAsia="en-US"/>
        </w:rPr>
        <w:t xml:space="preserve">ciences </w:t>
      </w:r>
      <w:r w:rsidR="000D2795">
        <w:rPr>
          <w:rFonts w:eastAsia="ArialMT"/>
          <w:b/>
          <w:bCs/>
          <w:color w:val="auto"/>
          <w:szCs w:val="28"/>
          <w:lang w:eastAsia="en-US"/>
        </w:rPr>
        <w:t>S</w:t>
      </w:r>
      <w:r w:rsidRPr="005E561C">
        <w:rPr>
          <w:rFonts w:eastAsia="ArialMT"/>
          <w:color w:val="auto"/>
          <w:szCs w:val="28"/>
          <w:lang w:eastAsia="en-US"/>
        </w:rPr>
        <w:t xml:space="preserve">ociales et </w:t>
      </w:r>
      <w:r w:rsidR="000D2795">
        <w:rPr>
          <w:rFonts w:eastAsia="ArialMT"/>
          <w:b/>
          <w:bCs/>
          <w:color w:val="auto"/>
          <w:szCs w:val="28"/>
          <w:lang w:eastAsia="en-US"/>
        </w:rPr>
        <w:t>H</w:t>
      </w:r>
      <w:r w:rsidRPr="005E561C">
        <w:rPr>
          <w:rFonts w:eastAsia="ArialMT"/>
          <w:color w:val="auto"/>
          <w:szCs w:val="28"/>
          <w:lang w:eastAsia="en-US"/>
        </w:rPr>
        <w:t>umaines</w:t>
      </w:r>
    </w:p>
    <w:p w:rsidR="005E561C" w:rsidRPr="005E561C" w:rsidRDefault="005E561C" w:rsidP="005E561C">
      <w:pPr>
        <w:spacing w:after="160" w:line="259" w:lineRule="auto"/>
        <w:ind w:right="0" w:firstLine="0"/>
        <w:jc w:val="left"/>
        <w:rPr>
          <w:rFonts w:asciiTheme="minorHAnsi" w:eastAsiaTheme="minorHAnsi" w:hAnsiTheme="minorHAnsi" w:cstheme="minorBidi"/>
          <w:b/>
          <w:bCs/>
          <w:color w:val="auto"/>
          <w:szCs w:val="28"/>
          <w:lang w:eastAsia="en-US"/>
        </w:rPr>
      </w:pPr>
      <w:r w:rsidRPr="005E561C">
        <w:rPr>
          <w:rFonts w:eastAsiaTheme="minorHAnsi"/>
          <w:b/>
          <w:bCs/>
          <w:color w:val="auto"/>
          <w:szCs w:val="28"/>
          <w:lang w:eastAsia="en-US"/>
        </w:rPr>
        <w:t>Semestre</w:t>
      </w:r>
      <w:r w:rsidRPr="005E561C">
        <w:rPr>
          <w:rFonts w:asciiTheme="minorHAnsi" w:eastAsiaTheme="minorHAnsi" w:hAnsiTheme="minorHAnsi" w:cstheme="minorBidi"/>
          <w:b/>
          <w:bCs/>
          <w:color w:val="auto"/>
          <w:szCs w:val="28"/>
          <w:lang w:eastAsia="en-US"/>
        </w:rPr>
        <w:t xml:space="preserve"> : </w:t>
      </w:r>
      <w:r w:rsidR="007A1B2D">
        <w:rPr>
          <w:rFonts w:asciiTheme="minorHAnsi" w:eastAsiaTheme="minorHAnsi" w:hAnsiTheme="minorHAnsi" w:cstheme="minorBidi"/>
          <w:b/>
          <w:bCs/>
          <w:color w:val="auto"/>
          <w:szCs w:val="28"/>
          <w:lang w:eastAsia="en-US"/>
        </w:rPr>
        <w:t>2</w:t>
      </w:r>
    </w:p>
    <w:p w:rsidR="005E561C" w:rsidRPr="005E561C" w:rsidRDefault="005E561C" w:rsidP="005E561C">
      <w:pPr>
        <w:spacing w:after="160" w:line="259" w:lineRule="auto"/>
        <w:ind w:right="0" w:firstLine="0"/>
        <w:jc w:val="left"/>
        <w:rPr>
          <w:rFonts w:asciiTheme="minorHAnsi" w:eastAsiaTheme="minorHAnsi" w:hAnsiTheme="minorHAnsi" w:cstheme="minorBidi"/>
          <w:color w:val="auto"/>
          <w:szCs w:val="28"/>
          <w:lang w:eastAsia="en-US"/>
        </w:rPr>
      </w:pPr>
    </w:p>
    <w:p w:rsidR="005E561C" w:rsidRPr="005E561C" w:rsidRDefault="005E561C" w:rsidP="005E561C">
      <w:pPr>
        <w:spacing w:after="317" w:line="259" w:lineRule="auto"/>
        <w:ind w:left="567" w:right="0" w:firstLine="0"/>
        <w:jc w:val="left"/>
        <w:rPr>
          <w:b/>
          <w:sz w:val="32"/>
        </w:rPr>
      </w:pPr>
      <w:r w:rsidRPr="005E561C">
        <w:rPr>
          <w:rFonts w:asciiTheme="minorHAnsi" w:eastAsiaTheme="minorHAnsi" w:hAnsiTheme="minorHAnsi" w:cstheme="minorBidi"/>
          <w:noProof/>
          <w:color w:val="auto"/>
          <w:szCs w:val="28"/>
        </w:rPr>
        <mc:AlternateContent>
          <mc:Choice Requires="wps">
            <w:drawing>
              <wp:anchor distT="0" distB="0" distL="114300" distR="114300" simplePos="0" relativeHeight="251659264" behindDoc="0" locked="0" layoutInCell="1" allowOverlap="1" wp14:anchorId="1F6B3F10" wp14:editId="705EF98D">
                <wp:simplePos x="0" y="0"/>
                <wp:positionH relativeFrom="margin">
                  <wp:posOffset>1295400</wp:posOffset>
                </wp:positionH>
                <wp:positionV relativeFrom="paragraph">
                  <wp:posOffset>452120</wp:posOffset>
                </wp:positionV>
                <wp:extent cx="4023360" cy="685800"/>
                <wp:effectExtent l="0" t="0" r="34290" b="57150"/>
                <wp:wrapNone/>
                <wp:docPr id="3"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3360" cy="68580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5E561C" w:rsidRPr="00A666F1" w:rsidRDefault="005E561C" w:rsidP="00BF78D5">
                            <w:pPr>
                              <w:autoSpaceDE w:val="0"/>
                              <w:autoSpaceDN w:val="0"/>
                              <w:adjustRightInd w:val="0"/>
                              <w:spacing w:before="240" w:after="0" w:line="360" w:lineRule="auto"/>
                              <w:ind w:firstLine="0"/>
                              <w:rPr>
                                <w:rFonts w:asciiTheme="majorBidi" w:hAnsiTheme="majorBidi" w:cstheme="majorBidi"/>
                                <w:b/>
                                <w:bCs/>
                                <w:sz w:val="32"/>
                                <w:szCs w:val="32"/>
                              </w:rPr>
                            </w:pPr>
                            <w:r>
                              <w:rPr>
                                <w:rFonts w:asciiTheme="majorBidi" w:hAnsiTheme="majorBidi" w:cstheme="majorBidi"/>
                                <w:b/>
                                <w:bCs/>
                                <w:sz w:val="32"/>
                                <w:szCs w:val="32"/>
                              </w:rPr>
                              <w:t xml:space="preserve"> </w:t>
                            </w:r>
                            <w:r w:rsidRPr="00A666F1">
                              <w:rPr>
                                <w:rFonts w:asciiTheme="majorBidi" w:hAnsiTheme="majorBidi" w:cstheme="majorBidi"/>
                                <w:b/>
                                <w:bCs/>
                                <w:sz w:val="32"/>
                                <w:szCs w:val="32"/>
                              </w:rPr>
                              <w:t>Cours N°</w:t>
                            </w:r>
                            <w:r w:rsidR="00BF78D5">
                              <w:rPr>
                                <w:rFonts w:asciiTheme="majorBidi" w:hAnsiTheme="majorBidi" w:cstheme="majorBidi"/>
                                <w:b/>
                                <w:bCs/>
                                <w:sz w:val="32"/>
                                <w:szCs w:val="32"/>
                              </w:rPr>
                              <w:t>3</w:t>
                            </w:r>
                            <w:r w:rsidRPr="00A666F1">
                              <w:rPr>
                                <w:rFonts w:asciiTheme="majorBidi" w:hAnsiTheme="majorBidi" w:cstheme="majorBidi"/>
                                <w:b/>
                                <w:bCs/>
                                <w:sz w:val="32"/>
                                <w:szCs w:val="32"/>
                              </w:rPr>
                              <w:t xml:space="preserve">: </w:t>
                            </w:r>
                            <w:r w:rsidR="00BF78D5">
                              <w:rPr>
                                <w:b/>
                              </w:rPr>
                              <w:t>Aperçu historique sur les Celtes</w:t>
                            </w:r>
                          </w:p>
                          <w:p w:rsidR="005E561C" w:rsidRPr="00265DB9" w:rsidRDefault="005E561C" w:rsidP="005E561C">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F6B3F10" id="Rectangle à coins arrondis 3" o:spid="_x0000_s1026" style="position:absolute;left:0;text-align:left;margin-left:102pt;margin-top:35.6pt;width:316.8pt;height:5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" fillcolor="#666" strokecolor="#666" strokeweight="1pt">
                <v:fill color2="#ccc" angle="135" focus="50%" type="gradient"/>
                <v:shadow on="t" color="#7f7f7f" opacity=".5" offset="1pt"/>
                <v:textbox>
                  <w:txbxContent>
                    <w:p w:rsidR="005E561C" w:rsidRPr="00A666F1" w:rsidRDefault="005E561C" w:rsidP="00BF78D5">
                      <w:pPr>
                        <w:autoSpaceDE w:val="0"/>
                        <w:autoSpaceDN w:val="0"/>
                        <w:adjustRightInd w:val="0"/>
                        <w:spacing w:before="240" w:after="0" w:line="360" w:lineRule="auto"/>
                        <w:ind w:firstLine="0"/>
                        <w:rPr>
                          <w:rFonts w:asciiTheme="majorBidi" w:hAnsiTheme="majorBidi" w:cstheme="majorBidi"/>
                          <w:b/>
                          <w:bCs/>
                          <w:sz w:val="32"/>
                          <w:szCs w:val="32"/>
                        </w:rPr>
                      </w:pPr>
                      <w:r>
                        <w:rPr>
                          <w:rFonts w:asciiTheme="majorBidi" w:hAnsiTheme="majorBidi" w:cstheme="majorBidi"/>
                          <w:b/>
                          <w:bCs/>
                          <w:sz w:val="32"/>
                          <w:szCs w:val="32"/>
                        </w:rPr>
                        <w:t xml:space="preserve"> </w:t>
                      </w:r>
                      <w:r w:rsidRPr="00A666F1">
                        <w:rPr>
                          <w:rFonts w:asciiTheme="majorBidi" w:hAnsiTheme="majorBidi" w:cstheme="majorBidi"/>
                          <w:b/>
                          <w:bCs/>
                          <w:sz w:val="32"/>
                          <w:szCs w:val="32"/>
                        </w:rPr>
                        <w:t>Cours N°</w:t>
                      </w:r>
                      <w:r w:rsidR="00BF78D5">
                        <w:rPr>
                          <w:rFonts w:asciiTheme="majorBidi" w:hAnsiTheme="majorBidi" w:cstheme="majorBidi"/>
                          <w:b/>
                          <w:bCs/>
                          <w:sz w:val="32"/>
                          <w:szCs w:val="32"/>
                        </w:rPr>
                        <w:t>3</w:t>
                      </w:r>
                      <w:r w:rsidRPr="00A666F1">
                        <w:rPr>
                          <w:rFonts w:asciiTheme="majorBidi" w:hAnsiTheme="majorBidi" w:cstheme="majorBidi"/>
                          <w:b/>
                          <w:bCs/>
                          <w:sz w:val="32"/>
                          <w:szCs w:val="32"/>
                        </w:rPr>
                        <w:t xml:space="preserve">: </w:t>
                      </w:r>
                      <w:r w:rsidR="00BF78D5">
                        <w:rPr>
                          <w:b/>
                        </w:rPr>
                        <w:t>Aperçu historique sur les Celtes</w:t>
                      </w:r>
                    </w:p>
                    <w:p w:rsidR="005E561C" w:rsidRPr="00265DB9" w:rsidRDefault="005E561C" w:rsidP="005E561C">
                      <w:pPr>
                        <w:jc w:val="center"/>
                        <w:rPr>
                          <w:szCs w:val="28"/>
                        </w:rPr>
                      </w:pPr>
                    </w:p>
                  </w:txbxContent>
                </v:textbox>
                <w10:wrap anchorx="margin"/>
              </v:roundrect>
            </w:pict>
          </mc:Fallback>
        </mc:AlternateContent>
      </w:r>
    </w:p>
    <w:p w:rsidR="005E561C" w:rsidRPr="005E561C" w:rsidRDefault="005E561C" w:rsidP="005E561C">
      <w:pPr>
        <w:spacing w:after="317" w:line="259" w:lineRule="auto"/>
        <w:ind w:left="720" w:right="0" w:firstLine="0"/>
        <w:jc w:val="left"/>
        <w:rPr>
          <w:b/>
          <w:sz w:val="32"/>
        </w:rPr>
      </w:pPr>
    </w:p>
    <w:p w:rsidR="005E561C" w:rsidRPr="005E561C" w:rsidRDefault="005E561C" w:rsidP="005E561C">
      <w:pPr>
        <w:spacing w:after="317" w:line="259" w:lineRule="auto"/>
        <w:ind w:left="720" w:right="0" w:firstLine="0"/>
        <w:jc w:val="left"/>
      </w:pPr>
    </w:p>
    <w:p w:rsidR="005E561C" w:rsidRPr="005E561C" w:rsidRDefault="005E561C" w:rsidP="005E561C">
      <w:pPr>
        <w:spacing w:after="317" w:line="259" w:lineRule="auto"/>
        <w:ind w:left="720" w:right="0" w:firstLine="0"/>
        <w:jc w:val="left"/>
      </w:pPr>
    </w:p>
    <w:p w:rsidR="005E561C" w:rsidRPr="005E561C" w:rsidRDefault="005E561C" w:rsidP="005E561C">
      <w:pPr>
        <w:spacing w:after="317" w:line="259" w:lineRule="auto"/>
        <w:ind w:left="720" w:right="0" w:firstLine="0"/>
        <w:jc w:val="left"/>
      </w:pPr>
    </w:p>
    <w:p w:rsidR="005E561C" w:rsidRDefault="005E561C" w:rsidP="005E561C">
      <w:pPr>
        <w:spacing w:after="317" w:line="259" w:lineRule="auto"/>
        <w:ind w:left="567" w:right="0" w:firstLine="0"/>
        <w:jc w:val="left"/>
      </w:pPr>
    </w:p>
    <w:p w:rsidR="005E561C" w:rsidRPr="005E561C" w:rsidRDefault="005E561C" w:rsidP="005E561C">
      <w:pPr>
        <w:spacing w:after="317" w:line="259" w:lineRule="auto"/>
        <w:ind w:left="567" w:right="0" w:firstLine="0"/>
        <w:jc w:val="left"/>
      </w:pPr>
    </w:p>
    <w:p w:rsidR="00651C83" w:rsidRDefault="005E561C" w:rsidP="008273D2">
      <w:pPr>
        <w:spacing w:after="317" w:line="259" w:lineRule="auto"/>
        <w:ind w:left="10" w:right="0" w:hanging="10"/>
        <w:jc w:val="center"/>
        <w:rPr>
          <w:b/>
          <w:bCs/>
        </w:rPr>
      </w:pPr>
      <w:r w:rsidRPr="005E561C">
        <w:rPr>
          <w:b/>
          <w:bCs/>
        </w:rPr>
        <w:t>Année universitaire : 202</w:t>
      </w:r>
      <w:r w:rsidR="008273D2">
        <w:rPr>
          <w:b/>
          <w:bCs/>
        </w:rPr>
        <w:t>3</w:t>
      </w:r>
      <w:r w:rsidRPr="005E561C">
        <w:rPr>
          <w:b/>
          <w:bCs/>
        </w:rPr>
        <w:t>-202</w:t>
      </w:r>
      <w:r w:rsidR="008273D2">
        <w:rPr>
          <w:b/>
          <w:bCs/>
        </w:rPr>
        <w:t>4</w:t>
      </w:r>
    </w:p>
    <w:p w:rsidR="00E829F0" w:rsidRDefault="00C63D1B" w:rsidP="00E829F0">
      <w:pPr>
        <w:pStyle w:val="Paragraphedeliste"/>
        <w:numPr>
          <w:ilvl w:val="0"/>
          <w:numId w:val="2"/>
        </w:numPr>
        <w:spacing w:after="0" w:line="276" w:lineRule="auto"/>
        <w:ind w:left="284" w:right="0" w:hanging="284"/>
        <w:jc w:val="left"/>
        <w:rPr>
          <w:rFonts w:eastAsiaTheme="minorEastAsia"/>
          <w:color w:val="auto"/>
          <w:szCs w:val="28"/>
        </w:rPr>
      </w:pPr>
      <w:r w:rsidRPr="0030167B">
        <w:rPr>
          <w:rFonts w:eastAsiaTheme="minorEastAsia"/>
          <w:b/>
          <w:bCs/>
          <w:color w:val="auto"/>
          <w:szCs w:val="28"/>
        </w:rPr>
        <w:lastRenderedPageBreak/>
        <w:t>Les Celtes</w:t>
      </w:r>
      <w:r w:rsidRPr="0030167B">
        <w:rPr>
          <w:rFonts w:eastAsiaTheme="minorEastAsia"/>
          <w:color w:val="auto"/>
          <w:szCs w:val="28"/>
        </w:rPr>
        <w:t xml:space="preserve"> sont des peuples indo-européens originaires</w:t>
      </w:r>
      <w:r w:rsidR="00E829F0">
        <w:rPr>
          <w:rFonts w:eastAsiaTheme="minorEastAsia"/>
          <w:color w:val="auto"/>
          <w:szCs w:val="28"/>
        </w:rPr>
        <w:t xml:space="preserve"> de la vallée du Danube,</w:t>
      </w:r>
    </w:p>
    <w:p w:rsidR="00C63D1B" w:rsidRDefault="0064344A" w:rsidP="00E829F0">
      <w:pPr>
        <w:pStyle w:val="Paragraphedeliste"/>
        <w:spacing w:after="0" w:line="276" w:lineRule="auto"/>
        <w:ind w:left="284" w:right="0" w:firstLine="0"/>
        <w:jc w:val="left"/>
        <w:rPr>
          <w:rFonts w:eastAsiaTheme="minorEastAsia"/>
          <w:color w:val="auto"/>
          <w:szCs w:val="28"/>
        </w:rPr>
      </w:pPr>
      <w:r w:rsidRPr="0030167B">
        <w:rPr>
          <w:rFonts w:eastAsiaTheme="minorEastAsia"/>
          <w:color w:val="auto"/>
          <w:szCs w:val="28"/>
        </w:rPr>
        <w:t>qui</w:t>
      </w:r>
      <w:r w:rsidR="00FF03AD" w:rsidRPr="0030167B">
        <w:rPr>
          <w:rFonts w:eastAsiaTheme="minorEastAsia"/>
          <w:color w:val="auto"/>
          <w:szCs w:val="28"/>
        </w:rPr>
        <w:t xml:space="preserve"> </w:t>
      </w:r>
      <w:r w:rsidRPr="0030167B">
        <w:rPr>
          <w:rFonts w:eastAsiaTheme="minorEastAsia"/>
          <w:color w:val="auto"/>
          <w:szCs w:val="28"/>
        </w:rPr>
        <w:t>se</w:t>
      </w:r>
      <w:r w:rsidR="00246DAA" w:rsidRPr="0030167B">
        <w:rPr>
          <w:rFonts w:eastAsiaTheme="minorEastAsia"/>
          <w:color w:val="auto"/>
          <w:szCs w:val="28"/>
        </w:rPr>
        <w:t xml:space="preserve"> </w:t>
      </w:r>
      <w:r w:rsidR="00C63D1B" w:rsidRPr="0030167B">
        <w:rPr>
          <w:rFonts w:eastAsiaTheme="minorEastAsia"/>
          <w:color w:val="auto"/>
          <w:szCs w:val="28"/>
        </w:rPr>
        <w:t>sont installés dans une grande partie de l’Europe de l’A</w:t>
      </w:r>
      <w:r w:rsidR="0030167B" w:rsidRPr="0030167B">
        <w:rPr>
          <w:rFonts w:eastAsiaTheme="minorEastAsia"/>
          <w:color w:val="auto"/>
          <w:szCs w:val="28"/>
        </w:rPr>
        <w:t>ntiquité. Ces peuplades</w:t>
      </w:r>
      <w:r w:rsidR="00E829F0">
        <w:rPr>
          <w:rFonts w:eastAsiaTheme="minorEastAsia"/>
          <w:color w:val="auto"/>
          <w:szCs w:val="28"/>
        </w:rPr>
        <w:t xml:space="preserve"> </w:t>
      </w:r>
      <w:r>
        <w:rPr>
          <w:rFonts w:eastAsiaTheme="minorEastAsia"/>
          <w:color w:val="auto"/>
          <w:szCs w:val="28"/>
        </w:rPr>
        <w:t>parlent</w:t>
      </w:r>
      <w:r w:rsidR="004D226F">
        <w:rPr>
          <w:rFonts w:eastAsiaTheme="minorEastAsia"/>
          <w:color w:val="auto"/>
          <w:szCs w:val="28"/>
        </w:rPr>
        <w:t xml:space="preserve"> </w:t>
      </w:r>
      <w:r w:rsidR="00C63D1B" w:rsidRPr="00C63D1B">
        <w:rPr>
          <w:rFonts w:eastAsiaTheme="minorEastAsia"/>
          <w:color w:val="auto"/>
          <w:szCs w:val="28"/>
        </w:rPr>
        <w:t>la même langue, avec des variantes, et ont en commun certaines croyances religieuses. Ce sont les diffuseurs de la civilisation du fer en Europe occidentale.</w:t>
      </w:r>
    </w:p>
    <w:p w:rsidR="0030167B" w:rsidRPr="00C63D1B" w:rsidRDefault="0030167B" w:rsidP="0030167B">
      <w:pPr>
        <w:spacing w:after="0" w:line="276" w:lineRule="auto"/>
        <w:ind w:right="0" w:firstLine="0"/>
        <w:jc w:val="left"/>
        <w:rPr>
          <w:rFonts w:eastAsiaTheme="minorEastAsia"/>
          <w:color w:val="auto"/>
          <w:szCs w:val="28"/>
        </w:rPr>
      </w:pPr>
    </w:p>
    <w:p w:rsidR="00C63D1B" w:rsidRPr="0030167B" w:rsidRDefault="00C63D1B" w:rsidP="00E829F0">
      <w:pPr>
        <w:pStyle w:val="Paragraphedeliste"/>
        <w:numPr>
          <w:ilvl w:val="0"/>
          <w:numId w:val="3"/>
        </w:numPr>
        <w:spacing w:after="0" w:line="276" w:lineRule="auto"/>
        <w:ind w:left="284" w:right="0" w:hanging="284"/>
        <w:rPr>
          <w:rFonts w:eastAsiaTheme="minorEastAsia"/>
          <w:b/>
          <w:bCs/>
          <w:color w:val="auto"/>
          <w:szCs w:val="28"/>
        </w:rPr>
      </w:pPr>
      <w:r w:rsidRPr="0030167B">
        <w:rPr>
          <w:rFonts w:eastAsiaTheme="minorEastAsia"/>
          <w:b/>
          <w:bCs/>
          <w:color w:val="auto"/>
          <w:szCs w:val="28"/>
        </w:rPr>
        <w:t>QU’EST-CE QUE LE MONDE CELTE ?</w:t>
      </w:r>
    </w:p>
    <w:p w:rsidR="0030167B" w:rsidRDefault="00C63D1B" w:rsidP="0030167B">
      <w:pPr>
        <w:spacing w:after="0" w:line="276" w:lineRule="auto"/>
        <w:ind w:right="0" w:firstLine="0"/>
        <w:rPr>
          <w:rFonts w:eastAsiaTheme="minorEastAsia"/>
          <w:color w:val="auto"/>
          <w:szCs w:val="28"/>
        </w:rPr>
      </w:pPr>
      <w:r w:rsidRPr="00C63D1B">
        <w:rPr>
          <w:rFonts w:eastAsiaTheme="minorEastAsia"/>
          <w:color w:val="auto"/>
          <w:szCs w:val="28"/>
        </w:rPr>
        <w:t xml:space="preserve"> L’expansion celte</w:t>
      </w:r>
      <w:r w:rsidR="0030167B">
        <w:rPr>
          <w:rFonts w:eastAsiaTheme="minorEastAsia"/>
          <w:color w:val="auto"/>
          <w:szCs w:val="28"/>
        </w:rPr>
        <w:t xml:space="preserve"> </w:t>
      </w:r>
      <w:r w:rsidRPr="00C63D1B">
        <w:rPr>
          <w:rFonts w:eastAsiaTheme="minorEastAsia"/>
          <w:color w:val="auto"/>
          <w:szCs w:val="28"/>
        </w:rPr>
        <w:t>Vers 2500 avant J.-C., un peuplement celte est présent en Europe centrale, dans la vallée du Danube. Certaines tribus commencent à migrer vers le nord et l’ouest de l’Europe. D’autres s’installent bientôt dans l’ouest et le sud-ouest. Finalement, vers 1500 avant J.-C., une grande partie de l’Europe est dominée par les Celtes.</w:t>
      </w:r>
    </w:p>
    <w:p w:rsidR="00C63D1B" w:rsidRPr="0030167B" w:rsidRDefault="00C63D1B" w:rsidP="00E829F0">
      <w:pPr>
        <w:pStyle w:val="Paragraphedeliste"/>
        <w:numPr>
          <w:ilvl w:val="0"/>
          <w:numId w:val="3"/>
        </w:numPr>
        <w:tabs>
          <w:tab w:val="left" w:pos="426"/>
        </w:tabs>
        <w:spacing w:after="0" w:line="276" w:lineRule="auto"/>
        <w:ind w:left="284" w:right="0" w:hanging="284"/>
        <w:rPr>
          <w:rFonts w:eastAsiaTheme="minorEastAsia"/>
          <w:color w:val="auto"/>
          <w:szCs w:val="28"/>
        </w:rPr>
      </w:pPr>
      <w:r w:rsidRPr="0030167B">
        <w:rPr>
          <w:rFonts w:eastAsiaTheme="minorEastAsia"/>
          <w:b/>
          <w:bCs/>
          <w:color w:val="auto"/>
          <w:szCs w:val="28"/>
        </w:rPr>
        <w:t>Les différents peuples celtes</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 xml:space="preserve">Les Celtes n’ont jamais formé un empire ou une nation. On les appelle </w:t>
      </w:r>
      <w:r w:rsidRPr="00C63D1B">
        <w:rPr>
          <w:rFonts w:eastAsiaTheme="minorEastAsia"/>
          <w:b/>
          <w:bCs/>
          <w:color w:val="auto"/>
          <w:szCs w:val="28"/>
        </w:rPr>
        <w:t>Gaulois</w:t>
      </w:r>
      <w:r w:rsidRPr="00C63D1B">
        <w:rPr>
          <w:rFonts w:eastAsiaTheme="minorEastAsia"/>
          <w:color w:val="auto"/>
          <w:szCs w:val="28"/>
        </w:rPr>
        <w:t xml:space="preserve"> (en France, Belgique et Suisse d’aujourd’hui), </w:t>
      </w:r>
      <w:r w:rsidRPr="00C63D1B">
        <w:rPr>
          <w:rFonts w:eastAsiaTheme="minorEastAsia"/>
          <w:b/>
          <w:bCs/>
          <w:color w:val="auto"/>
          <w:szCs w:val="28"/>
        </w:rPr>
        <w:t>Celtibères</w:t>
      </w:r>
      <w:r w:rsidRPr="00C63D1B">
        <w:rPr>
          <w:rFonts w:eastAsiaTheme="minorEastAsia"/>
          <w:color w:val="auto"/>
          <w:szCs w:val="28"/>
        </w:rPr>
        <w:t xml:space="preserve"> (en Espagne), </w:t>
      </w:r>
      <w:r w:rsidRPr="00C63D1B">
        <w:rPr>
          <w:rFonts w:eastAsiaTheme="minorEastAsia"/>
          <w:b/>
          <w:bCs/>
          <w:color w:val="auto"/>
          <w:szCs w:val="28"/>
        </w:rPr>
        <w:t>Britons</w:t>
      </w:r>
      <w:bookmarkStart w:id="0" w:name="_GoBack"/>
      <w:bookmarkEnd w:id="0"/>
      <w:r w:rsidRPr="00C63D1B">
        <w:rPr>
          <w:rFonts w:eastAsiaTheme="minorEastAsia"/>
          <w:b/>
          <w:bCs/>
          <w:color w:val="auto"/>
          <w:szCs w:val="28"/>
        </w:rPr>
        <w:t xml:space="preserve"> ou Calédoniens</w:t>
      </w:r>
      <w:r w:rsidRPr="00C63D1B">
        <w:rPr>
          <w:rFonts w:eastAsiaTheme="minorEastAsia"/>
          <w:color w:val="auto"/>
          <w:szCs w:val="28"/>
        </w:rPr>
        <w:t xml:space="preserve"> (en Grande-Bretagne), </w:t>
      </w:r>
      <w:r w:rsidRPr="00C63D1B">
        <w:rPr>
          <w:rFonts w:eastAsiaTheme="minorEastAsia"/>
          <w:b/>
          <w:bCs/>
          <w:color w:val="auto"/>
          <w:szCs w:val="28"/>
        </w:rPr>
        <w:t>Gaëls</w:t>
      </w:r>
      <w:r w:rsidRPr="00C63D1B">
        <w:rPr>
          <w:rFonts w:eastAsiaTheme="minorEastAsia"/>
          <w:color w:val="auto"/>
          <w:szCs w:val="28"/>
        </w:rPr>
        <w:t xml:space="preserve"> (en Irlande), etc.</w:t>
      </w:r>
    </w:p>
    <w:p w:rsidR="00E829F0" w:rsidRDefault="00C63D1B" w:rsidP="00E829F0">
      <w:pPr>
        <w:spacing w:after="0" w:line="276" w:lineRule="auto"/>
        <w:ind w:right="0" w:firstLine="0"/>
        <w:rPr>
          <w:rFonts w:eastAsiaTheme="minorEastAsia"/>
          <w:color w:val="auto"/>
          <w:szCs w:val="28"/>
        </w:rPr>
      </w:pPr>
      <w:r w:rsidRPr="00C63D1B">
        <w:rPr>
          <w:rFonts w:eastAsiaTheme="minorEastAsia"/>
          <w:color w:val="auto"/>
          <w:szCs w:val="28"/>
        </w:rPr>
        <w:t xml:space="preserve">Vers 400 avant J.-C., ces peuples guerriers envahissent le nord de l’Italie et, en 390 avant J.-C., atteignent Rome, qu’ils incendient. Certains vont jusqu’en Asie Mineure (en Turquie) où ils s’installent, prenant le nom de </w:t>
      </w:r>
      <w:r w:rsidRPr="00C63D1B">
        <w:rPr>
          <w:rFonts w:eastAsiaTheme="minorEastAsia"/>
          <w:b/>
          <w:bCs/>
          <w:color w:val="auto"/>
          <w:szCs w:val="28"/>
        </w:rPr>
        <w:t>Galates.</w:t>
      </w:r>
    </w:p>
    <w:p w:rsidR="00C63D1B" w:rsidRPr="00E829F0" w:rsidRDefault="00C63D1B" w:rsidP="00E829F0">
      <w:pPr>
        <w:pStyle w:val="Paragraphedeliste"/>
        <w:numPr>
          <w:ilvl w:val="0"/>
          <w:numId w:val="3"/>
        </w:numPr>
        <w:spacing w:after="0" w:line="276" w:lineRule="auto"/>
        <w:ind w:left="284" w:right="0" w:hanging="284"/>
        <w:rPr>
          <w:rFonts w:eastAsiaTheme="minorEastAsia"/>
          <w:color w:val="auto"/>
          <w:szCs w:val="28"/>
        </w:rPr>
      </w:pPr>
      <w:r w:rsidRPr="00E829F0">
        <w:rPr>
          <w:rFonts w:eastAsiaTheme="minorEastAsia"/>
          <w:b/>
          <w:bCs/>
          <w:color w:val="auto"/>
          <w:szCs w:val="28"/>
        </w:rPr>
        <w:t xml:space="preserve">L’héritage des Celtes  </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La culture des Celtes a laissé une profonde empreinte en Europe.</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 xml:space="preserve">Par exemple, il reste aujourd'hui de la langue celtique, </w:t>
      </w:r>
      <w:r w:rsidRPr="00C63D1B">
        <w:rPr>
          <w:rFonts w:eastAsiaTheme="minorEastAsia"/>
          <w:b/>
          <w:bCs/>
          <w:color w:val="auto"/>
          <w:szCs w:val="28"/>
        </w:rPr>
        <w:t>l'irlandais</w:t>
      </w:r>
      <w:r w:rsidRPr="00C63D1B">
        <w:rPr>
          <w:rFonts w:eastAsiaTheme="minorEastAsia"/>
          <w:color w:val="auto"/>
          <w:szCs w:val="28"/>
        </w:rPr>
        <w:t xml:space="preserve"> (en Irlande), le </w:t>
      </w:r>
      <w:r w:rsidRPr="00C63D1B">
        <w:rPr>
          <w:rFonts w:eastAsiaTheme="minorEastAsia"/>
          <w:b/>
          <w:bCs/>
          <w:color w:val="auto"/>
          <w:szCs w:val="28"/>
        </w:rPr>
        <w:t>gallois</w:t>
      </w:r>
      <w:r w:rsidRPr="00C63D1B">
        <w:rPr>
          <w:rFonts w:eastAsiaTheme="minorEastAsia"/>
          <w:color w:val="auto"/>
          <w:szCs w:val="28"/>
        </w:rPr>
        <w:t xml:space="preserve"> (au pays de Galles), le </w:t>
      </w:r>
      <w:r w:rsidRPr="00C63D1B">
        <w:rPr>
          <w:rFonts w:eastAsiaTheme="minorEastAsia"/>
          <w:b/>
          <w:bCs/>
          <w:color w:val="auto"/>
          <w:szCs w:val="28"/>
        </w:rPr>
        <w:t>gaélique</w:t>
      </w:r>
      <w:r w:rsidRPr="00C63D1B">
        <w:rPr>
          <w:rFonts w:eastAsiaTheme="minorEastAsia"/>
          <w:color w:val="auto"/>
          <w:szCs w:val="28"/>
        </w:rPr>
        <w:t xml:space="preserve"> (en Écosse) et le </w:t>
      </w:r>
      <w:r w:rsidRPr="00C63D1B">
        <w:rPr>
          <w:rFonts w:eastAsiaTheme="minorEastAsia"/>
          <w:b/>
          <w:bCs/>
          <w:color w:val="auto"/>
          <w:szCs w:val="28"/>
        </w:rPr>
        <w:t>breton</w:t>
      </w:r>
      <w:r w:rsidRPr="00C63D1B">
        <w:rPr>
          <w:rFonts w:eastAsiaTheme="minorEastAsia"/>
          <w:color w:val="auto"/>
          <w:szCs w:val="28"/>
        </w:rPr>
        <w:t xml:space="preserve"> (en Bretagne). Dans la langue française, qui a pour origine le latin, il reste une soixantaine de mots celtes (gaulois) : alouette, ambassade, boue, caillou, char, chêne, mouton, sapin, etc.</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 xml:space="preserve">Pour sa part, l'art celte, qui est fait de courbes, de volutes, de motifs géométriques et de figures d'animaux stylisés, a inspiré les artistes irlandais du Moyen Âge. </w:t>
      </w:r>
    </w:p>
    <w:p w:rsidR="00C63D1B" w:rsidRPr="00C63D1B" w:rsidRDefault="00C63D1B" w:rsidP="00C63D1B">
      <w:pPr>
        <w:spacing w:after="0" w:line="276" w:lineRule="auto"/>
        <w:ind w:right="0" w:firstLine="0"/>
        <w:rPr>
          <w:rFonts w:eastAsiaTheme="minorEastAsia"/>
          <w:color w:val="auto"/>
          <w:szCs w:val="28"/>
        </w:rPr>
      </w:pPr>
    </w:p>
    <w:p w:rsidR="00C63D1B" w:rsidRPr="007B341E" w:rsidRDefault="00C63D1B" w:rsidP="007B341E">
      <w:pPr>
        <w:pStyle w:val="Paragraphedeliste"/>
        <w:numPr>
          <w:ilvl w:val="0"/>
          <w:numId w:val="2"/>
        </w:numPr>
        <w:spacing w:after="0" w:line="276" w:lineRule="auto"/>
        <w:ind w:left="284" w:right="0" w:hanging="284"/>
        <w:rPr>
          <w:rFonts w:eastAsiaTheme="minorEastAsia"/>
          <w:color w:val="auto"/>
          <w:szCs w:val="28"/>
        </w:rPr>
      </w:pPr>
      <w:r w:rsidRPr="007B341E">
        <w:rPr>
          <w:rFonts w:eastAsiaTheme="minorEastAsia"/>
          <w:b/>
          <w:bCs/>
          <w:color w:val="auto"/>
          <w:szCs w:val="28"/>
        </w:rPr>
        <w:t>La Gaule</w:t>
      </w:r>
      <w:r w:rsidRPr="007B341E">
        <w:rPr>
          <w:rFonts w:eastAsiaTheme="minorEastAsia"/>
          <w:color w:val="auto"/>
          <w:szCs w:val="28"/>
        </w:rPr>
        <w:t xml:space="preserve"> est le nom donné, par les Romains de l’Antiquité, à un vaste territoire peuplé de Celtes, englobant la France, la Belgique et la Suisse d’aujourd’hui.</w:t>
      </w:r>
    </w:p>
    <w:p w:rsidR="00C63D1B" w:rsidRPr="007B341E" w:rsidRDefault="00C63D1B" w:rsidP="007B341E">
      <w:pPr>
        <w:pStyle w:val="Paragraphedeliste"/>
        <w:numPr>
          <w:ilvl w:val="0"/>
          <w:numId w:val="3"/>
        </w:numPr>
        <w:spacing w:after="0" w:line="276" w:lineRule="auto"/>
        <w:ind w:left="284" w:right="0" w:hanging="284"/>
        <w:rPr>
          <w:rFonts w:eastAsiaTheme="minorEastAsia"/>
          <w:b/>
          <w:bCs/>
          <w:color w:val="auto"/>
          <w:szCs w:val="28"/>
        </w:rPr>
      </w:pPr>
      <w:r w:rsidRPr="007B341E">
        <w:rPr>
          <w:rFonts w:eastAsiaTheme="minorEastAsia"/>
          <w:b/>
          <w:bCs/>
          <w:color w:val="auto"/>
          <w:szCs w:val="28"/>
        </w:rPr>
        <w:t>QUI SONT LES GAULOIS ?</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Les Gaulois sont des Celtes originaires d’Europe centrale qui se sont installés sur ce territoire au V</w:t>
      </w:r>
      <w:r w:rsidRPr="00C63D1B">
        <w:rPr>
          <w:rFonts w:eastAsiaTheme="minorEastAsia"/>
          <w:color w:val="auto"/>
          <w:szCs w:val="28"/>
          <w:vertAlign w:val="superscript"/>
        </w:rPr>
        <w:t>ème</w:t>
      </w:r>
      <w:r w:rsidRPr="00C63D1B">
        <w:rPr>
          <w:rFonts w:eastAsiaTheme="minorEastAsia"/>
          <w:color w:val="auto"/>
          <w:szCs w:val="28"/>
        </w:rPr>
        <w:t xml:space="preserve"> siècle avant J.-C. Les Celtes ont surtout occupé un territoire appelé la « Gaule chevelue » par les Romains et divisé en trois régions : l’Aquitaine, la Celtique et la Belgique. Le sud-est de la France actuelle a pour sa part subi très tôt </w:t>
      </w:r>
      <w:r w:rsidRPr="00C63D1B">
        <w:rPr>
          <w:rFonts w:eastAsiaTheme="minorEastAsia"/>
          <w:color w:val="auto"/>
          <w:szCs w:val="28"/>
        </w:rPr>
        <w:lastRenderedPageBreak/>
        <w:t>l’influence des Grecs qui ont fondé Marseille vers 600 avant J.-C. Ceux-ci ayant demandé l’aide de Rome contre la tutelle celtique, Marseille est à l’origine de la romanisation de toute cette région, appelée la Gaule transalpine puis la Narbonnaise.</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Pour connaître l’histoire des Gaulois, comme ceux-ci n’utilisent pas l’écriture, il faut se fier aux témoignages des Grecs et des Romains (en particulier celui de Jules César, auteur de la Guerre des Gaules). Mais ces sources, subjectives, sont souvent incomplètes ; c’est pourquoi le travail des archéologues est une source précieuse d’informations complémentaires.</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Les Gaulois sont des peuples de guerriers. Ils se battent entre tribus, armés d’épées, de poignards et de javelots. Ils se protègent avec des casques décorés et de longs boucliers ; les plus riches combattent à cheval.</w:t>
      </w:r>
    </w:p>
    <w:p w:rsidR="00C63D1B" w:rsidRPr="00C63D1B" w:rsidRDefault="00C63D1B" w:rsidP="00C63D1B">
      <w:pPr>
        <w:spacing w:after="0" w:line="276" w:lineRule="auto"/>
        <w:ind w:right="0" w:firstLine="0"/>
        <w:rPr>
          <w:rFonts w:eastAsiaTheme="minorEastAsia"/>
          <w:color w:val="auto"/>
          <w:szCs w:val="28"/>
        </w:rPr>
      </w:pPr>
    </w:p>
    <w:p w:rsidR="00C63D1B" w:rsidRPr="007B341E" w:rsidRDefault="00C63D1B" w:rsidP="007B341E">
      <w:pPr>
        <w:pStyle w:val="Paragraphedeliste"/>
        <w:numPr>
          <w:ilvl w:val="0"/>
          <w:numId w:val="3"/>
        </w:numPr>
        <w:spacing w:after="0" w:line="276" w:lineRule="auto"/>
        <w:ind w:left="284" w:right="0" w:hanging="284"/>
        <w:rPr>
          <w:rFonts w:eastAsiaTheme="minorEastAsia"/>
          <w:color w:val="auto"/>
          <w:szCs w:val="28"/>
        </w:rPr>
      </w:pPr>
      <w:r w:rsidRPr="007B341E">
        <w:rPr>
          <w:rFonts w:eastAsiaTheme="minorEastAsia"/>
          <w:b/>
          <w:bCs/>
          <w:color w:val="auto"/>
          <w:szCs w:val="28"/>
        </w:rPr>
        <w:t>Un Gallo-romain</w:t>
      </w:r>
      <w:r w:rsidRPr="007B341E">
        <w:rPr>
          <w:rFonts w:eastAsiaTheme="minorEastAsia"/>
          <w:color w:val="auto"/>
          <w:szCs w:val="28"/>
        </w:rPr>
        <w:t xml:space="preserve"> est un Gaulois vivant en Gaule après la conquête de Jules César, en 51 avant J.-C.</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Si, au début, le peuple conserve ses caractéristiques celtes (sa culture, sa langue, ses vêtements, etc.), progressivement il adopte une grande partie de la culture romaine : on parle de romanisation de la Gaule.</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La civilisation gallo-romaine est donc un mélange entre la culture romaine et les anciennes traditions gauloises.</w:t>
      </w:r>
    </w:p>
    <w:p w:rsidR="00C63D1B" w:rsidRPr="00C63D1B" w:rsidRDefault="00C63D1B" w:rsidP="00C63D1B">
      <w:pPr>
        <w:spacing w:after="0" w:line="276" w:lineRule="auto"/>
        <w:ind w:right="0" w:firstLine="0"/>
        <w:rPr>
          <w:rFonts w:eastAsiaTheme="minorEastAsia"/>
          <w:b/>
          <w:bCs/>
          <w:color w:val="auto"/>
          <w:szCs w:val="28"/>
        </w:rPr>
      </w:pPr>
    </w:p>
    <w:p w:rsidR="00C63D1B" w:rsidRPr="007B341E" w:rsidRDefault="00C63D1B" w:rsidP="007B341E">
      <w:pPr>
        <w:pStyle w:val="Paragraphedeliste"/>
        <w:numPr>
          <w:ilvl w:val="0"/>
          <w:numId w:val="4"/>
        </w:numPr>
        <w:spacing w:after="0" w:line="276" w:lineRule="auto"/>
        <w:ind w:left="284" w:right="0" w:hanging="284"/>
        <w:rPr>
          <w:rFonts w:eastAsiaTheme="minorEastAsia"/>
          <w:b/>
          <w:bCs/>
          <w:color w:val="auto"/>
          <w:szCs w:val="28"/>
        </w:rPr>
      </w:pPr>
      <w:r w:rsidRPr="007B341E">
        <w:rPr>
          <w:rFonts w:eastAsiaTheme="minorEastAsia"/>
          <w:b/>
          <w:bCs/>
          <w:color w:val="auto"/>
          <w:szCs w:val="28"/>
        </w:rPr>
        <w:t>COMMENT LE GAULOIS EST-IL DEVENU UN GALLO-ROMAIN ?</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Dès 125 avant J.-C., les Romains occupent le midi de la Gaule, où ils implantent la civilisation romaine. Le reste du territoire gaulois, appelé la « Gaule chevelue », est envahi par le général romain Jules César à partir de 58 avant J.-C.</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 xml:space="preserve">Malgré la résistance des Gaulois derrière le chef arverne </w:t>
      </w:r>
      <w:r w:rsidRPr="00C63D1B">
        <w:rPr>
          <w:rFonts w:eastAsiaTheme="minorEastAsia"/>
          <w:b/>
          <w:bCs/>
          <w:color w:val="auto"/>
          <w:szCs w:val="28"/>
        </w:rPr>
        <w:t>Vercingétorix</w:t>
      </w:r>
      <w:r w:rsidRPr="000324F8">
        <w:rPr>
          <w:rFonts w:eastAsiaTheme="minorEastAsia"/>
          <w:b/>
          <w:bCs/>
          <w:color w:val="auto"/>
          <w:szCs w:val="28"/>
          <w:vertAlign w:val="superscript"/>
        </w:rPr>
        <w:footnoteReference w:id="1"/>
      </w:r>
      <w:r w:rsidRPr="00C63D1B">
        <w:rPr>
          <w:rFonts w:eastAsiaTheme="minorEastAsia"/>
          <w:color w:val="auto"/>
          <w:szCs w:val="28"/>
        </w:rPr>
        <w:t xml:space="preserve"> et leur victoire à Gergovie, ils sont vaincus à Alésia, en 52 avant J.-C. L’année suivante, toute la Gaule est soumise par Jules César.</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 xml:space="preserve">Puis, en 27 avant J.-C., Auguste met fin à la République romaine et crée l’Empire. La Gaule est alors divisée en quatre provinces de l’Empire : la Narbonnaise (au sud) est gouvernée par un proconsul ; l’Aquitaine (à l’ouest), la Celtique (ou la Lyonnaise, au centre) et la Belgique (au nord) sont pour leur part dirigées par un seul homme, </w:t>
      </w:r>
      <w:r w:rsidRPr="00C63D1B">
        <w:rPr>
          <w:rFonts w:eastAsiaTheme="minorEastAsia"/>
          <w:color w:val="auto"/>
          <w:szCs w:val="28"/>
        </w:rPr>
        <w:lastRenderedPageBreak/>
        <w:t>un gouverneur, qui réside à Lyon (appelée alors Lugdunum), la capitale de ces « Trois Gaules ».</w:t>
      </w:r>
    </w:p>
    <w:p w:rsidR="00C63D1B" w:rsidRPr="00C63D1B" w:rsidRDefault="00C63D1B" w:rsidP="00C63D1B">
      <w:pPr>
        <w:spacing w:after="0" w:line="276" w:lineRule="auto"/>
        <w:ind w:right="0" w:firstLine="0"/>
        <w:rPr>
          <w:rFonts w:eastAsiaTheme="minorEastAsia"/>
          <w:color w:val="auto"/>
          <w:szCs w:val="28"/>
        </w:rPr>
      </w:pPr>
    </w:p>
    <w:p w:rsidR="00C63D1B" w:rsidRPr="007B341E" w:rsidRDefault="00C63D1B" w:rsidP="007B341E">
      <w:pPr>
        <w:pStyle w:val="Paragraphedeliste"/>
        <w:numPr>
          <w:ilvl w:val="0"/>
          <w:numId w:val="4"/>
        </w:numPr>
        <w:spacing w:after="0" w:line="276" w:lineRule="auto"/>
        <w:ind w:left="284" w:right="0" w:hanging="284"/>
        <w:rPr>
          <w:rFonts w:eastAsiaTheme="minorEastAsia"/>
          <w:color w:val="auto"/>
          <w:szCs w:val="28"/>
        </w:rPr>
      </w:pPr>
      <w:r w:rsidRPr="007B341E">
        <w:rPr>
          <w:rFonts w:eastAsiaTheme="minorEastAsia"/>
          <w:b/>
          <w:bCs/>
          <w:color w:val="auto"/>
          <w:szCs w:val="28"/>
        </w:rPr>
        <w:t>La langue française</w:t>
      </w:r>
      <w:r w:rsidRPr="007B341E">
        <w:rPr>
          <w:rFonts w:eastAsiaTheme="minorEastAsia"/>
          <w:color w:val="auto"/>
          <w:szCs w:val="28"/>
        </w:rPr>
        <w:t xml:space="preserve"> est la langue parlée en France et dans les pays francophones. C’est une langue romane ou </w:t>
      </w:r>
      <w:proofErr w:type="spellStart"/>
      <w:r w:rsidRPr="007B341E">
        <w:rPr>
          <w:rFonts w:eastAsiaTheme="minorEastAsia"/>
          <w:color w:val="auto"/>
          <w:szCs w:val="28"/>
        </w:rPr>
        <w:t>néo-latine</w:t>
      </w:r>
      <w:proofErr w:type="spellEnd"/>
      <w:r w:rsidRPr="007B341E">
        <w:rPr>
          <w:rFonts w:eastAsiaTheme="minorEastAsia"/>
          <w:color w:val="auto"/>
          <w:szCs w:val="28"/>
        </w:rPr>
        <w:t xml:space="preserve"> (comme l’italien, l’espagnol, le portugais et le roumain) qui vient en grande partie du latin. </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Vieille de plus de 1 000 ans, elle a une histoire longue et complexe et reste en constante évolution.</w:t>
      </w:r>
    </w:p>
    <w:p w:rsidR="00C63D1B" w:rsidRPr="007B341E" w:rsidRDefault="00C63D1B" w:rsidP="007B341E">
      <w:pPr>
        <w:pStyle w:val="Paragraphedeliste"/>
        <w:numPr>
          <w:ilvl w:val="0"/>
          <w:numId w:val="4"/>
        </w:numPr>
        <w:spacing w:after="0" w:line="276" w:lineRule="auto"/>
        <w:ind w:left="284" w:right="0" w:hanging="284"/>
        <w:rPr>
          <w:rFonts w:eastAsiaTheme="minorEastAsia"/>
          <w:b/>
          <w:bCs/>
          <w:color w:val="auto"/>
          <w:szCs w:val="28"/>
        </w:rPr>
      </w:pPr>
      <w:r w:rsidRPr="007B341E">
        <w:rPr>
          <w:rFonts w:eastAsiaTheme="minorEastAsia"/>
          <w:b/>
          <w:bCs/>
          <w:color w:val="auto"/>
          <w:szCs w:val="28"/>
        </w:rPr>
        <w:t>D’OÙ VIENNENT LES MOTS DU FRANÇAIS ?</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Les mots français ont trois origines possibles :</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 xml:space="preserve">→ Ce que l’on appelle </w:t>
      </w:r>
      <w:r w:rsidRPr="00C63D1B">
        <w:rPr>
          <w:rFonts w:eastAsiaTheme="minorEastAsia"/>
          <w:b/>
          <w:bCs/>
          <w:color w:val="auto"/>
          <w:szCs w:val="28"/>
        </w:rPr>
        <w:t>le fond primitif</w:t>
      </w:r>
      <w:r w:rsidRPr="00C63D1B">
        <w:rPr>
          <w:rFonts w:eastAsiaTheme="minorEastAsia"/>
          <w:color w:val="auto"/>
          <w:szCs w:val="28"/>
        </w:rPr>
        <w:t>, c’est-à-dire le vocabulaire latin « vulgaire » que l’on parlait en Gaule</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 xml:space="preserve">→ Ce que l’on appelle </w:t>
      </w:r>
      <w:r w:rsidRPr="00C63D1B">
        <w:rPr>
          <w:rFonts w:eastAsiaTheme="minorEastAsia"/>
          <w:b/>
          <w:bCs/>
          <w:color w:val="auto"/>
          <w:szCs w:val="28"/>
        </w:rPr>
        <w:t>les emprunts</w:t>
      </w:r>
      <w:r w:rsidRPr="00C63D1B">
        <w:rPr>
          <w:rFonts w:eastAsiaTheme="minorEastAsia"/>
          <w:color w:val="auto"/>
          <w:szCs w:val="28"/>
        </w:rPr>
        <w:t xml:space="preserve">, c’est-à-dire le vocabulaire emprunté à une autre langue </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 xml:space="preserve">→ Ce que l’on appelle </w:t>
      </w:r>
      <w:r w:rsidRPr="00C63D1B">
        <w:rPr>
          <w:rFonts w:eastAsiaTheme="minorEastAsia"/>
          <w:b/>
          <w:bCs/>
          <w:color w:val="auto"/>
          <w:szCs w:val="28"/>
        </w:rPr>
        <w:t>les formations indigènes</w:t>
      </w:r>
      <w:r w:rsidRPr="00C63D1B">
        <w:rPr>
          <w:rFonts w:eastAsiaTheme="minorEastAsia"/>
          <w:color w:val="auto"/>
          <w:szCs w:val="28"/>
        </w:rPr>
        <w:t>, (composition, dérivation, néologie) c’est-à-dire le vocabulaire créé en France à partir de mots déjà existants ou de contextes régionaux, sociaux, historiques, etc.</w:t>
      </w:r>
    </w:p>
    <w:p w:rsidR="00C63D1B" w:rsidRPr="007B341E" w:rsidRDefault="00C63D1B" w:rsidP="007B341E">
      <w:pPr>
        <w:pStyle w:val="Paragraphedeliste"/>
        <w:numPr>
          <w:ilvl w:val="0"/>
          <w:numId w:val="3"/>
        </w:numPr>
        <w:spacing w:after="0" w:line="276" w:lineRule="auto"/>
        <w:ind w:left="284" w:right="0" w:hanging="284"/>
        <w:rPr>
          <w:rFonts w:eastAsiaTheme="minorEastAsia"/>
          <w:b/>
          <w:bCs/>
          <w:color w:val="auto"/>
          <w:szCs w:val="28"/>
        </w:rPr>
      </w:pPr>
      <w:r w:rsidRPr="007B341E">
        <w:rPr>
          <w:rFonts w:eastAsiaTheme="minorEastAsia"/>
          <w:b/>
          <w:bCs/>
          <w:color w:val="auto"/>
          <w:szCs w:val="28"/>
        </w:rPr>
        <w:t xml:space="preserve">HISTORIQUE </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 xml:space="preserve">La langue française est issue d’une forme dite « latin vulgaire ou bas-latin » qui est une altération du latin classique. Dans le latin classique, dès le Ier siècle av. J.-C., il existait un décalage entre la langue écrite et celle parlée par le peuple. Un phénomène d’ordre phonétique, comme l’amuïssement du n (qui devient muet) et sa disparition devant -s dans des mots comme </w:t>
      </w:r>
      <w:proofErr w:type="spellStart"/>
      <w:r w:rsidRPr="00C63D1B">
        <w:rPr>
          <w:rFonts w:eastAsiaTheme="minorEastAsia"/>
          <w:color w:val="auto"/>
          <w:szCs w:val="28"/>
        </w:rPr>
        <w:t>co</w:t>
      </w:r>
      <w:proofErr w:type="spellEnd"/>
      <w:r w:rsidRPr="00C63D1B">
        <w:rPr>
          <w:rFonts w:eastAsiaTheme="minorEastAsia"/>
          <w:color w:val="auto"/>
          <w:szCs w:val="28"/>
        </w:rPr>
        <w:t>(n)</w:t>
      </w:r>
      <w:proofErr w:type="spellStart"/>
      <w:r w:rsidRPr="00C63D1B">
        <w:rPr>
          <w:rFonts w:eastAsiaTheme="minorEastAsia"/>
          <w:color w:val="auto"/>
          <w:szCs w:val="28"/>
        </w:rPr>
        <w:t>sul</w:t>
      </w:r>
      <w:proofErr w:type="spellEnd"/>
      <w:r w:rsidRPr="00C63D1B">
        <w:rPr>
          <w:rFonts w:eastAsiaTheme="minorEastAsia"/>
          <w:color w:val="auto"/>
          <w:szCs w:val="28"/>
        </w:rPr>
        <w:t xml:space="preserve"> ou ma(n)</w:t>
      </w:r>
      <w:proofErr w:type="spellStart"/>
      <w:r w:rsidRPr="00C63D1B">
        <w:rPr>
          <w:rFonts w:eastAsiaTheme="minorEastAsia"/>
          <w:color w:val="auto"/>
          <w:szCs w:val="28"/>
        </w:rPr>
        <w:t>sionem</w:t>
      </w:r>
      <w:proofErr w:type="spellEnd"/>
      <w:r w:rsidRPr="00C63D1B">
        <w:rPr>
          <w:rFonts w:eastAsiaTheme="minorEastAsia"/>
          <w:color w:val="auto"/>
          <w:szCs w:val="28"/>
        </w:rPr>
        <w:t>, avait déjà eu lieu. Le latin, langue des conquérants d’une bonne partie de l’Europe et de tout le pourtour de la Méditerranée, a été parlé dans tout l’Empire romain, par des populations très diverses, gauloises, ibériques</w:t>
      </w:r>
      <w:r w:rsidRPr="000324F8">
        <w:rPr>
          <w:rFonts w:eastAsiaTheme="minorEastAsia"/>
          <w:color w:val="auto"/>
          <w:szCs w:val="28"/>
          <w:vertAlign w:val="superscript"/>
        </w:rPr>
        <w:footnoteReference w:id="2"/>
      </w:r>
      <w:r w:rsidRPr="00C63D1B">
        <w:rPr>
          <w:rFonts w:eastAsiaTheme="minorEastAsia"/>
          <w:color w:val="auto"/>
          <w:szCs w:val="28"/>
        </w:rPr>
        <w:t xml:space="preserve"> ou celtiques. Il ne reste que très peu de traces des langues parlées en Gaule à l’époque de la conquête romaine, et qui sont des langues celtiques.</w:t>
      </w:r>
    </w:p>
    <w:p w:rsidR="00C63D1B" w:rsidRPr="00C63D1B" w:rsidRDefault="00C63D1B" w:rsidP="00C63D1B">
      <w:pPr>
        <w:spacing w:after="0" w:line="276" w:lineRule="auto"/>
        <w:ind w:right="0" w:firstLine="0"/>
        <w:rPr>
          <w:rFonts w:eastAsiaTheme="minorEastAsia"/>
          <w:b/>
          <w:bCs/>
          <w:color w:val="auto"/>
          <w:szCs w:val="28"/>
        </w:rPr>
      </w:pPr>
    </w:p>
    <w:p w:rsidR="00C63D1B" w:rsidRPr="007B341E" w:rsidRDefault="00C63D1B" w:rsidP="007B341E">
      <w:pPr>
        <w:pStyle w:val="Paragraphedeliste"/>
        <w:numPr>
          <w:ilvl w:val="0"/>
          <w:numId w:val="5"/>
        </w:numPr>
        <w:spacing w:after="0" w:line="276" w:lineRule="auto"/>
        <w:ind w:left="284" w:right="0" w:hanging="284"/>
        <w:rPr>
          <w:rFonts w:eastAsiaTheme="minorEastAsia"/>
          <w:b/>
          <w:bCs/>
          <w:color w:val="auto"/>
          <w:szCs w:val="28"/>
        </w:rPr>
      </w:pPr>
      <w:r w:rsidRPr="007B341E">
        <w:rPr>
          <w:rFonts w:eastAsiaTheme="minorEastAsia"/>
          <w:b/>
          <w:bCs/>
          <w:color w:val="auto"/>
          <w:szCs w:val="28"/>
        </w:rPr>
        <w:t xml:space="preserve">Le roman </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 xml:space="preserve">Pendant toute la période comprise entre </w:t>
      </w:r>
      <w:r w:rsidRPr="00C63D1B">
        <w:rPr>
          <w:rFonts w:eastAsiaTheme="minorEastAsia"/>
          <w:b/>
          <w:bCs/>
          <w:color w:val="auto"/>
          <w:szCs w:val="28"/>
        </w:rPr>
        <w:t>la conquête romaine</w:t>
      </w:r>
      <w:r w:rsidRPr="00C63D1B">
        <w:rPr>
          <w:rFonts w:eastAsiaTheme="minorEastAsia"/>
          <w:color w:val="auto"/>
          <w:szCs w:val="28"/>
        </w:rPr>
        <w:t xml:space="preserve"> et le règne des </w:t>
      </w:r>
      <w:r w:rsidRPr="00C63D1B">
        <w:rPr>
          <w:rFonts w:eastAsiaTheme="minorEastAsia"/>
          <w:b/>
          <w:bCs/>
          <w:color w:val="auto"/>
          <w:szCs w:val="28"/>
        </w:rPr>
        <w:t>Carolingiens</w:t>
      </w:r>
      <w:r w:rsidRPr="000324F8">
        <w:rPr>
          <w:rFonts w:eastAsiaTheme="minorEastAsia"/>
          <w:b/>
          <w:bCs/>
          <w:color w:val="auto"/>
          <w:szCs w:val="28"/>
          <w:vertAlign w:val="superscript"/>
        </w:rPr>
        <w:footnoteReference w:id="3"/>
      </w:r>
      <w:r w:rsidRPr="00C63D1B">
        <w:rPr>
          <w:rFonts w:eastAsiaTheme="minorEastAsia"/>
          <w:color w:val="auto"/>
          <w:szCs w:val="28"/>
        </w:rPr>
        <w:t xml:space="preserve">, la langue parlée sur le territoire gaulois était une forme altérée du </w:t>
      </w:r>
      <w:r w:rsidRPr="00C63D1B">
        <w:rPr>
          <w:rFonts w:eastAsiaTheme="minorEastAsia"/>
          <w:color w:val="auto"/>
          <w:szCs w:val="28"/>
        </w:rPr>
        <w:lastRenderedPageBreak/>
        <w:t>latin. Les documents écrits que l’on possède sur cette période sont, d’une part, un texte politique datant de</w:t>
      </w:r>
      <w:r w:rsidRPr="00C63D1B">
        <w:rPr>
          <w:rFonts w:eastAsiaTheme="minorEastAsia"/>
          <w:b/>
          <w:bCs/>
          <w:color w:val="auto"/>
          <w:szCs w:val="28"/>
        </w:rPr>
        <w:t xml:space="preserve"> 842</w:t>
      </w:r>
      <w:r w:rsidRPr="00C63D1B">
        <w:rPr>
          <w:rFonts w:eastAsiaTheme="minorEastAsia"/>
          <w:color w:val="auto"/>
          <w:szCs w:val="28"/>
        </w:rPr>
        <w:t xml:space="preserve">, le texte </w:t>
      </w:r>
      <w:r w:rsidRPr="00C63D1B">
        <w:rPr>
          <w:rFonts w:eastAsiaTheme="minorEastAsia"/>
          <w:b/>
          <w:bCs/>
          <w:color w:val="auto"/>
          <w:szCs w:val="28"/>
        </w:rPr>
        <w:t>des Serments de Strasbourg</w:t>
      </w:r>
      <w:r w:rsidRPr="00C63D1B">
        <w:rPr>
          <w:rFonts w:eastAsiaTheme="minorEastAsia"/>
          <w:color w:val="auto"/>
          <w:szCs w:val="28"/>
        </w:rPr>
        <w:t>, prononcés par les petits-fils de Charlemagne lors du partage de l’empire et, d’autre part, un document religieux, connu sous le nom de</w:t>
      </w:r>
      <w:r w:rsidRPr="00C63D1B">
        <w:rPr>
          <w:rFonts w:eastAsiaTheme="minorEastAsia"/>
          <w:b/>
          <w:bCs/>
          <w:color w:val="auto"/>
          <w:szCs w:val="28"/>
        </w:rPr>
        <w:t xml:space="preserve"> Cantilène de sainte Eulalie</w:t>
      </w:r>
      <w:r w:rsidRPr="00C63D1B">
        <w:rPr>
          <w:rFonts w:eastAsiaTheme="minorEastAsia"/>
          <w:color w:val="auto"/>
          <w:szCs w:val="28"/>
        </w:rPr>
        <w:t xml:space="preserve">, écrit aux environs de l’an </w:t>
      </w:r>
      <w:r w:rsidRPr="00C63D1B">
        <w:rPr>
          <w:rFonts w:eastAsiaTheme="minorEastAsia"/>
          <w:b/>
          <w:bCs/>
          <w:color w:val="auto"/>
          <w:szCs w:val="28"/>
        </w:rPr>
        <w:t>900</w:t>
      </w:r>
      <w:r w:rsidRPr="00C63D1B">
        <w:rPr>
          <w:rFonts w:eastAsiaTheme="minorEastAsia"/>
          <w:color w:val="auto"/>
          <w:szCs w:val="28"/>
        </w:rPr>
        <w:t xml:space="preserve">. La nouvelle langue populaire reflétée par ces deux textes est une langue hybride, à laquelle on donnera le nom de </w:t>
      </w:r>
      <w:r w:rsidRPr="00C63D1B">
        <w:rPr>
          <w:rFonts w:eastAsiaTheme="minorEastAsia"/>
          <w:b/>
          <w:bCs/>
          <w:color w:val="auto"/>
          <w:szCs w:val="28"/>
        </w:rPr>
        <w:t>roman</w:t>
      </w:r>
      <w:r w:rsidRPr="00C63D1B">
        <w:rPr>
          <w:rFonts w:eastAsiaTheme="minorEastAsia"/>
          <w:color w:val="auto"/>
          <w:szCs w:val="28"/>
        </w:rPr>
        <w:t>.</w:t>
      </w:r>
    </w:p>
    <w:p w:rsidR="00C63D1B" w:rsidRPr="00C63D1B" w:rsidRDefault="00C63D1B" w:rsidP="000378D4">
      <w:pPr>
        <w:spacing w:after="0" w:line="276" w:lineRule="auto"/>
        <w:ind w:right="0" w:firstLine="0"/>
        <w:rPr>
          <w:rFonts w:eastAsiaTheme="minorEastAsia"/>
          <w:color w:val="auto"/>
          <w:szCs w:val="28"/>
        </w:rPr>
      </w:pPr>
      <w:r w:rsidRPr="00C63D1B">
        <w:rPr>
          <w:rFonts w:eastAsiaTheme="minorEastAsia"/>
          <w:color w:val="auto"/>
          <w:szCs w:val="28"/>
        </w:rPr>
        <w:t xml:space="preserve">Par rapport au </w:t>
      </w:r>
      <w:r w:rsidRPr="00C63D1B">
        <w:rPr>
          <w:rFonts w:eastAsiaTheme="minorEastAsia"/>
          <w:b/>
          <w:bCs/>
          <w:color w:val="auto"/>
          <w:szCs w:val="28"/>
        </w:rPr>
        <w:t>bas-latin</w:t>
      </w:r>
      <w:r w:rsidRPr="00C63D1B">
        <w:rPr>
          <w:rFonts w:eastAsiaTheme="minorEastAsia"/>
          <w:color w:val="auto"/>
          <w:szCs w:val="28"/>
        </w:rPr>
        <w:t xml:space="preserve">, un certain nombre d’évolutions s’étaient produites sur le plan de la prononciation et, tout particulièrement, en ce qui concerne les mots les plus courants. Ces altérations ont été décrites par la phonétique historique. Elles consistent en une transformation de phonèmes en d’autres phonèmes sous l’effet de divers facteurs. Ces transformations sont par exemple, au Ve siècle, l’effacement des voyelles </w:t>
      </w:r>
      <w:proofErr w:type="spellStart"/>
      <w:r w:rsidRPr="00C63D1B">
        <w:rPr>
          <w:rFonts w:eastAsiaTheme="minorEastAsia"/>
          <w:color w:val="auto"/>
          <w:szCs w:val="28"/>
        </w:rPr>
        <w:t>prétoniques</w:t>
      </w:r>
      <w:proofErr w:type="spellEnd"/>
      <w:r w:rsidRPr="00C63D1B">
        <w:rPr>
          <w:rFonts w:eastAsiaTheme="minorEastAsia"/>
          <w:color w:val="auto"/>
          <w:szCs w:val="28"/>
        </w:rPr>
        <w:t xml:space="preserve"> (</w:t>
      </w:r>
      <w:proofErr w:type="spellStart"/>
      <w:r w:rsidRPr="00C63D1B">
        <w:rPr>
          <w:rFonts w:eastAsiaTheme="minorEastAsia"/>
          <w:color w:val="auto"/>
          <w:szCs w:val="28"/>
        </w:rPr>
        <w:t>cere</w:t>
      </w:r>
      <w:r w:rsidRPr="00C63D1B">
        <w:rPr>
          <w:rFonts w:eastAsiaTheme="minorEastAsia"/>
          <w:b/>
          <w:bCs/>
          <w:color w:val="auto"/>
          <w:szCs w:val="28"/>
        </w:rPr>
        <w:t>b</w:t>
      </w:r>
      <w:r w:rsidRPr="00C63D1B">
        <w:rPr>
          <w:rFonts w:eastAsiaTheme="minorEastAsia"/>
          <w:color w:val="auto"/>
          <w:szCs w:val="28"/>
        </w:rPr>
        <w:t>ella</w:t>
      </w:r>
      <w:proofErr w:type="spellEnd"/>
      <w:r w:rsidRPr="00C63D1B">
        <w:rPr>
          <w:rFonts w:eastAsiaTheme="minorEastAsia"/>
          <w:color w:val="auto"/>
          <w:szCs w:val="28"/>
        </w:rPr>
        <w:t xml:space="preserve"> &gt; cer</w:t>
      </w:r>
      <w:r w:rsidRPr="00C63D1B">
        <w:rPr>
          <w:rFonts w:eastAsiaTheme="minorEastAsia"/>
          <w:b/>
          <w:bCs/>
          <w:color w:val="auto"/>
          <w:szCs w:val="28"/>
        </w:rPr>
        <w:t>v</w:t>
      </w:r>
      <w:r w:rsidRPr="00C63D1B">
        <w:rPr>
          <w:rFonts w:eastAsiaTheme="minorEastAsia"/>
          <w:color w:val="auto"/>
          <w:szCs w:val="28"/>
        </w:rPr>
        <w:t xml:space="preserve">elle ; </w:t>
      </w:r>
      <w:proofErr w:type="spellStart"/>
      <w:r w:rsidRPr="00C63D1B">
        <w:rPr>
          <w:rFonts w:eastAsiaTheme="minorEastAsia"/>
          <w:color w:val="auto"/>
          <w:szCs w:val="28"/>
        </w:rPr>
        <w:t>computare</w:t>
      </w:r>
      <w:proofErr w:type="spellEnd"/>
      <w:r w:rsidRPr="00C63D1B">
        <w:rPr>
          <w:rFonts w:eastAsiaTheme="minorEastAsia"/>
          <w:color w:val="auto"/>
          <w:szCs w:val="28"/>
        </w:rPr>
        <w:t xml:space="preserve"> &gt; compter) ; au VIe siècle, la </w:t>
      </w:r>
      <w:r w:rsidRPr="00C63D1B">
        <w:rPr>
          <w:rFonts w:eastAsiaTheme="minorEastAsia"/>
          <w:b/>
          <w:bCs/>
          <w:color w:val="auto"/>
          <w:szCs w:val="28"/>
        </w:rPr>
        <w:t>diphtongaison</w:t>
      </w:r>
      <w:r w:rsidRPr="00C63D1B">
        <w:rPr>
          <w:rFonts w:eastAsiaTheme="minorEastAsia"/>
          <w:color w:val="auto"/>
          <w:szCs w:val="28"/>
        </w:rPr>
        <w:t xml:space="preserve"> du [e] (</w:t>
      </w:r>
      <w:r w:rsidRPr="00C63D1B">
        <w:rPr>
          <w:rFonts w:eastAsiaTheme="minorEastAsia"/>
          <w:b/>
          <w:bCs/>
          <w:color w:val="auto"/>
          <w:szCs w:val="28"/>
        </w:rPr>
        <w:t>me</w:t>
      </w:r>
      <w:r w:rsidRPr="00C63D1B">
        <w:rPr>
          <w:rFonts w:eastAsiaTheme="minorEastAsia"/>
          <w:color w:val="auto"/>
          <w:szCs w:val="28"/>
        </w:rPr>
        <w:t xml:space="preserve"> &gt; </w:t>
      </w:r>
      <w:proofErr w:type="spellStart"/>
      <w:r w:rsidRPr="00C63D1B">
        <w:rPr>
          <w:rFonts w:eastAsiaTheme="minorEastAsia"/>
          <w:b/>
          <w:bCs/>
          <w:color w:val="auto"/>
          <w:szCs w:val="28"/>
        </w:rPr>
        <w:t>mei</w:t>
      </w:r>
      <w:proofErr w:type="spellEnd"/>
      <w:r w:rsidRPr="00C63D1B">
        <w:rPr>
          <w:rFonts w:eastAsiaTheme="minorEastAsia"/>
          <w:b/>
          <w:bCs/>
          <w:color w:val="auto"/>
          <w:szCs w:val="28"/>
        </w:rPr>
        <w:t xml:space="preserve"> </w:t>
      </w:r>
      <w:r w:rsidRPr="00C63D1B">
        <w:rPr>
          <w:rFonts w:eastAsiaTheme="minorEastAsia"/>
          <w:color w:val="auto"/>
          <w:szCs w:val="28"/>
        </w:rPr>
        <w:t xml:space="preserve">— qui par la suite devient </w:t>
      </w:r>
      <w:r w:rsidRPr="00C63D1B">
        <w:rPr>
          <w:rFonts w:eastAsiaTheme="minorEastAsia"/>
          <w:b/>
          <w:bCs/>
          <w:color w:val="auto"/>
          <w:szCs w:val="28"/>
        </w:rPr>
        <w:t>moi</w:t>
      </w:r>
      <w:r w:rsidRPr="00C63D1B">
        <w:rPr>
          <w:rFonts w:eastAsiaTheme="minorEastAsia"/>
          <w:color w:val="auto"/>
          <w:szCs w:val="28"/>
        </w:rPr>
        <w:t xml:space="preserve">) ; au VIIIe siècle, </w:t>
      </w:r>
      <w:r w:rsidRPr="00C63D1B">
        <w:rPr>
          <w:rFonts w:eastAsiaTheme="minorEastAsia"/>
          <w:b/>
          <w:bCs/>
          <w:color w:val="auto"/>
          <w:szCs w:val="28"/>
        </w:rPr>
        <w:t>l’effacement des voyelles en position de finale absolue</w:t>
      </w:r>
      <w:r w:rsidRPr="00C63D1B">
        <w:rPr>
          <w:rFonts w:eastAsiaTheme="minorEastAsia"/>
          <w:color w:val="auto"/>
          <w:szCs w:val="28"/>
        </w:rPr>
        <w:t xml:space="preserve"> (</w:t>
      </w:r>
      <w:proofErr w:type="spellStart"/>
      <w:r w:rsidRPr="00C63D1B">
        <w:rPr>
          <w:rFonts w:eastAsiaTheme="minorEastAsia"/>
          <w:color w:val="auto"/>
          <w:szCs w:val="28"/>
        </w:rPr>
        <w:t>mur</w:t>
      </w:r>
      <w:r w:rsidRPr="00C63D1B">
        <w:rPr>
          <w:rFonts w:eastAsiaTheme="minorEastAsia"/>
          <w:b/>
          <w:bCs/>
          <w:color w:val="auto"/>
          <w:szCs w:val="28"/>
        </w:rPr>
        <w:t>u</w:t>
      </w:r>
      <w:proofErr w:type="spellEnd"/>
      <w:r w:rsidRPr="00C63D1B">
        <w:rPr>
          <w:rFonts w:eastAsiaTheme="minorEastAsia"/>
          <w:color w:val="auto"/>
          <w:szCs w:val="28"/>
        </w:rPr>
        <w:t xml:space="preserve"> &gt; mur) ainsi que </w:t>
      </w:r>
      <w:r w:rsidRPr="00C63D1B">
        <w:rPr>
          <w:rFonts w:eastAsiaTheme="minorEastAsia"/>
          <w:b/>
          <w:bCs/>
          <w:color w:val="auto"/>
          <w:szCs w:val="28"/>
        </w:rPr>
        <w:t>la transformation des voyelles finales en e muets</w:t>
      </w:r>
      <w:r w:rsidRPr="00C63D1B">
        <w:rPr>
          <w:rFonts w:eastAsiaTheme="minorEastAsia"/>
          <w:color w:val="auto"/>
          <w:szCs w:val="28"/>
        </w:rPr>
        <w:t xml:space="preserve"> (caus</w:t>
      </w:r>
      <w:r w:rsidRPr="00C63D1B">
        <w:rPr>
          <w:rFonts w:eastAsiaTheme="minorEastAsia"/>
          <w:b/>
          <w:bCs/>
          <w:color w:val="auto"/>
          <w:szCs w:val="28"/>
        </w:rPr>
        <w:t>a</w:t>
      </w:r>
      <w:r w:rsidRPr="00C63D1B">
        <w:rPr>
          <w:rFonts w:eastAsiaTheme="minorEastAsia"/>
          <w:color w:val="auto"/>
          <w:szCs w:val="28"/>
        </w:rPr>
        <w:t xml:space="preserve"> &gt; chose). Pour ce qui est des consonnes, les modifications sont dues à des phénomènes de relâchement articulatoire (expliquant, par exemple, la disparition de [g] dans </w:t>
      </w:r>
      <w:proofErr w:type="spellStart"/>
      <w:r w:rsidRPr="00C63D1B">
        <w:rPr>
          <w:rFonts w:eastAsiaTheme="minorEastAsia"/>
          <w:color w:val="auto"/>
          <w:szCs w:val="28"/>
        </w:rPr>
        <w:t>ru</w:t>
      </w:r>
      <w:r w:rsidRPr="00C63D1B">
        <w:rPr>
          <w:rFonts w:eastAsiaTheme="minorEastAsia"/>
          <w:b/>
          <w:bCs/>
          <w:color w:val="auto"/>
          <w:szCs w:val="28"/>
        </w:rPr>
        <w:t>g</w:t>
      </w:r>
      <w:r w:rsidRPr="00C63D1B">
        <w:rPr>
          <w:rFonts w:eastAsiaTheme="minorEastAsia"/>
          <w:color w:val="auto"/>
          <w:szCs w:val="28"/>
        </w:rPr>
        <w:t>a</w:t>
      </w:r>
      <w:proofErr w:type="spellEnd"/>
      <w:r w:rsidRPr="00C63D1B">
        <w:rPr>
          <w:rFonts w:eastAsiaTheme="minorEastAsia"/>
          <w:color w:val="auto"/>
          <w:szCs w:val="28"/>
        </w:rPr>
        <w:t xml:space="preserve"> &gt; rue).</w:t>
      </w:r>
    </w:p>
    <w:p w:rsidR="00C63D1B" w:rsidRPr="00C63D1B" w:rsidRDefault="00C63D1B" w:rsidP="00C63D1B">
      <w:pPr>
        <w:spacing w:after="0" w:line="276" w:lineRule="auto"/>
        <w:ind w:right="0" w:firstLine="0"/>
        <w:rPr>
          <w:rFonts w:eastAsiaTheme="minorEastAsia"/>
          <w:b/>
          <w:bCs/>
          <w:color w:val="auto"/>
          <w:szCs w:val="28"/>
        </w:rPr>
      </w:pPr>
    </w:p>
    <w:p w:rsidR="00C63D1B" w:rsidRPr="007B341E" w:rsidRDefault="00C63D1B" w:rsidP="007B341E">
      <w:pPr>
        <w:pStyle w:val="Paragraphedeliste"/>
        <w:numPr>
          <w:ilvl w:val="0"/>
          <w:numId w:val="5"/>
        </w:numPr>
        <w:spacing w:after="0" w:line="276" w:lineRule="auto"/>
        <w:ind w:left="284" w:right="0" w:hanging="284"/>
        <w:rPr>
          <w:rFonts w:eastAsiaTheme="minorEastAsia"/>
          <w:b/>
          <w:bCs/>
          <w:color w:val="auto"/>
          <w:szCs w:val="28"/>
        </w:rPr>
      </w:pPr>
      <w:r w:rsidRPr="007B341E">
        <w:rPr>
          <w:rFonts w:eastAsiaTheme="minorEastAsia"/>
          <w:b/>
          <w:bCs/>
          <w:color w:val="auto"/>
          <w:szCs w:val="28"/>
        </w:rPr>
        <w:t xml:space="preserve">L’ancien français </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 xml:space="preserve">L’ancien français avait conservé des traces du système des </w:t>
      </w:r>
      <w:r w:rsidRPr="00C63D1B">
        <w:rPr>
          <w:rFonts w:eastAsiaTheme="minorEastAsia"/>
          <w:b/>
          <w:bCs/>
          <w:color w:val="auto"/>
          <w:szCs w:val="28"/>
        </w:rPr>
        <w:t>déclinaisons</w:t>
      </w:r>
      <w:r w:rsidRPr="000324F8">
        <w:rPr>
          <w:rFonts w:eastAsiaTheme="minorEastAsia"/>
          <w:b/>
          <w:bCs/>
          <w:color w:val="auto"/>
          <w:szCs w:val="28"/>
          <w:vertAlign w:val="superscript"/>
        </w:rPr>
        <w:footnoteReference w:id="4"/>
      </w:r>
      <w:r w:rsidRPr="00C63D1B">
        <w:rPr>
          <w:rFonts w:eastAsiaTheme="minorEastAsia"/>
          <w:color w:val="auto"/>
          <w:szCs w:val="28"/>
        </w:rPr>
        <w:t xml:space="preserve"> latines, progressivement ruiné par l’évolution phonétique. Dans le cas, par exemple, d’une forme d’</w:t>
      </w:r>
      <w:r w:rsidRPr="00C63D1B">
        <w:rPr>
          <w:rFonts w:eastAsiaTheme="minorEastAsia"/>
          <w:b/>
          <w:bCs/>
          <w:color w:val="auto"/>
          <w:szCs w:val="28"/>
        </w:rPr>
        <w:t>accusatif</w:t>
      </w:r>
      <w:r w:rsidRPr="000324F8">
        <w:rPr>
          <w:rFonts w:eastAsiaTheme="minorEastAsia"/>
          <w:b/>
          <w:bCs/>
          <w:color w:val="auto"/>
          <w:szCs w:val="28"/>
          <w:vertAlign w:val="superscript"/>
        </w:rPr>
        <w:footnoteReference w:id="5"/>
      </w:r>
      <w:r w:rsidRPr="00C63D1B">
        <w:rPr>
          <w:rFonts w:eastAsiaTheme="minorEastAsia"/>
          <w:b/>
          <w:bCs/>
          <w:color w:val="auto"/>
          <w:szCs w:val="28"/>
        </w:rPr>
        <w:t xml:space="preserve"> </w:t>
      </w:r>
      <w:r w:rsidRPr="00C63D1B">
        <w:rPr>
          <w:rFonts w:eastAsiaTheme="minorEastAsia"/>
          <w:color w:val="auto"/>
          <w:szCs w:val="28"/>
        </w:rPr>
        <w:t>en -</w:t>
      </w:r>
      <w:proofErr w:type="spellStart"/>
      <w:r w:rsidRPr="00C63D1B">
        <w:rPr>
          <w:rFonts w:eastAsiaTheme="minorEastAsia"/>
          <w:b/>
          <w:bCs/>
          <w:color w:val="auto"/>
          <w:szCs w:val="28"/>
        </w:rPr>
        <w:t>em</w:t>
      </w:r>
      <w:proofErr w:type="spellEnd"/>
      <w:r w:rsidRPr="00C63D1B">
        <w:rPr>
          <w:rFonts w:eastAsiaTheme="minorEastAsia"/>
          <w:b/>
          <w:bCs/>
          <w:color w:val="auto"/>
          <w:szCs w:val="28"/>
        </w:rPr>
        <w:t>,</w:t>
      </w:r>
      <w:r w:rsidRPr="00C63D1B">
        <w:rPr>
          <w:rFonts w:eastAsiaTheme="minorEastAsia"/>
          <w:color w:val="auto"/>
          <w:szCs w:val="28"/>
        </w:rPr>
        <w:t xml:space="preserve"> la disparition de la consonne finale rendait cette forme indiscernable d’une forme d’</w:t>
      </w:r>
      <w:r w:rsidRPr="00C63D1B">
        <w:rPr>
          <w:rFonts w:eastAsiaTheme="minorEastAsia"/>
          <w:b/>
          <w:bCs/>
          <w:color w:val="auto"/>
          <w:szCs w:val="28"/>
        </w:rPr>
        <w:t>ablatif</w:t>
      </w:r>
      <w:r w:rsidRPr="000324F8">
        <w:rPr>
          <w:rFonts w:eastAsiaTheme="minorEastAsia"/>
          <w:b/>
          <w:bCs/>
          <w:color w:val="auto"/>
          <w:szCs w:val="28"/>
          <w:vertAlign w:val="superscript"/>
        </w:rPr>
        <w:footnoteReference w:id="6"/>
      </w:r>
      <w:r w:rsidRPr="00C63D1B">
        <w:rPr>
          <w:rFonts w:eastAsiaTheme="minorEastAsia"/>
          <w:color w:val="auto"/>
          <w:szCs w:val="28"/>
        </w:rPr>
        <w:t xml:space="preserve"> en -e, et ce dès le Ier siècle. Pour qu’une forme puisse être identifiée comme un ablatif, il était devenu nécessaire, dès cette époque, de la faire précéder d’une préposition indiquant clairement qu’il ne s’agissait pas d’une forme d’accusatif, mais bel et bien d’un ablatif.</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 xml:space="preserve">L’ancien français utilisait un système de déclinaisons, masculine et féminine, à deux cas, un cas dit « sujet » et un cas dit « régime », ce qui représentait un système très simplifié par rapport au latin, mais cette déclinaison a également peu à peu disparu pour laisser place à une langue dans laquelle ce sont l’ordre des mots et les prépositions qui indiquent la fonction des groupes syntagmatiques. Par ailleurs, pendant la période de l’ancien français, l’ensemble des mots hérités se doubla des </w:t>
      </w:r>
      <w:r w:rsidRPr="00C63D1B">
        <w:rPr>
          <w:rFonts w:eastAsiaTheme="minorEastAsia"/>
          <w:color w:val="auto"/>
          <w:szCs w:val="28"/>
        </w:rPr>
        <w:lastRenderedPageBreak/>
        <w:t xml:space="preserve">emprunts faits au latin tel que le latin ecclésiastique l’avait conservé, d’emprunts aux autres dialectes romans parlés en France, le picard et le normand, ainsi qu’aux langues germaniques. C’est cette langue, dite langue d’oïl, par opposition à la </w:t>
      </w:r>
      <w:r w:rsidRPr="00C63D1B">
        <w:rPr>
          <w:rFonts w:eastAsiaTheme="minorEastAsia"/>
          <w:b/>
          <w:bCs/>
          <w:color w:val="auto"/>
          <w:szCs w:val="28"/>
        </w:rPr>
        <w:t>langue d’oc</w:t>
      </w:r>
      <w:r w:rsidRPr="00C63D1B">
        <w:rPr>
          <w:rFonts w:eastAsiaTheme="minorEastAsia"/>
          <w:color w:val="auto"/>
          <w:szCs w:val="28"/>
        </w:rPr>
        <w:t xml:space="preserve"> parlée dans les régions situées au sud de la Loire et qui a également été d’une grande richesse littéraire, que reflète la littérature des XIIe et XIIIe siècles. </w:t>
      </w:r>
      <w:r w:rsidRPr="00C63D1B">
        <w:rPr>
          <w:rFonts w:eastAsiaTheme="minorEastAsia"/>
          <w:b/>
          <w:bCs/>
          <w:color w:val="auto"/>
          <w:szCs w:val="28"/>
        </w:rPr>
        <w:t>La langue d’oïl</w:t>
      </w:r>
      <w:r w:rsidRPr="00C63D1B">
        <w:rPr>
          <w:rFonts w:eastAsiaTheme="minorEastAsia"/>
          <w:color w:val="auto"/>
          <w:szCs w:val="28"/>
        </w:rPr>
        <w:t xml:space="preserve"> est également celle qu’imposa le pouvoir royal dans sa volonté d’unification politique et administrative.</w:t>
      </w:r>
    </w:p>
    <w:p w:rsidR="00C63D1B" w:rsidRPr="007B341E" w:rsidRDefault="00C63D1B" w:rsidP="007B341E">
      <w:pPr>
        <w:pStyle w:val="Paragraphedeliste"/>
        <w:numPr>
          <w:ilvl w:val="0"/>
          <w:numId w:val="5"/>
        </w:numPr>
        <w:spacing w:after="0" w:line="276" w:lineRule="auto"/>
        <w:ind w:left="284" w:right="0" w:hanging="284"/>
        <w:rPr>
          <w:rFonts w:eastAsiaTheme="minorEastAsia"/>
          <w:b/>
          <w:bCs/>
          <w:color w:val="auto"/>
          <w:szCs w:val="28"/>
        </w:rPr>
      </w:pPr>
      <w:r w:rsidRPr="007B341E">
        <w:rPr>
          <w:rFonts w:eastAsiaTheme="minorEastAsia"/>
          <w:b/>
          <w:bCs/>
          <w:color w:val="auto"/>
          <w:szCs w:val="28"/>
        </w:rPr>
        <w:t xml:space="preserve">Le moyen français </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 xml:space="preserve">La période dite du moyen français, qui correspond </w:t>
      </w:r>
      <w:r w:rsidRPr="00C63D1B">
        <w:rPr>
          <w:rFonts w:eastAsiaTheme="minorEastAsia"/>
          <w:b/>
          <w:bCs/>
          <w:color w:val="auto"/>
          <w:szCs w:val="28"/>
        </w:rPr>
        <w:t>aux XIVe et XVe siècles,</w:t>
      </w:r>
      <w:r w:rsidRPr="00C63D1B">
        <w:rPr>
          <w:rFonts w:eastAsiaTheme="minorEastAsia"/>
          <w:color w:val="auto"/>
          <w:szCs w:val="28"/>
        </w:rPr>
        <w:t xml:space="preserve"> vit l’expansion du </w:t>
      </w:r>
      <w:r w:rsidRPr="00C63D1B">
        <w:rPr>
          <w:rFonts w:eastAsiaTheme="minorEastAsia"/>
          <w:b/>
          <w:bCs/>
          <w:color w:val="auto"/>
          <w:szCs w:val="28"/>
        </w:rPr>
        <w:t>français central,</w:t>
      </w:r>
      <w:r w:rsidRPr="00C63D1B">
        <w:rPr>
          <w:rFonts w:eastAsiaTheme="minorEastAsia"/>
          <w:color w:val="auto"/>
          <w:szCs w:val="28"/>
        </w:rPr>
        <w:t xml:space="preserve"> au détriment </w:t>
      </w:r>
      <w:r w:rsidRPr="00C63D1B">
        <w:rPr>
          <w:rFonts w:eastAsiaTheme="minorEastAsia"/>
          <w:b/>
          <w:bCs/>
          <w:color w:val="auto"/>
          <w:szCs w:val="28"/>
        </w:rPr>
        <w:t>des autres dialectes de la langue d’oïl</w:t>
      </w:r>
      <w:r w:rsidRPr="00C63D1B">
        <w:rPr>
          <w:rFonts w:eastAsiaTheme="minorEastAsia"/>
          <w:color w:val="auto"/>
          <w:szCs w:val="28"/>
        </w:rPr>
        <w:t>, le</w:t>
      </w:r>
      <w:r w:rsidRPr="00C63D1B">
        <w:rPr>
          <w:rFonts w:eastAsiaTheme="minorEastAsia"/>
          <w:b/>
          <w:bCs/>
          <w:color w:val="auto"/>
          <w:szCs w:val="28"/>
        </w:rPr>
        <w:t xml:space="preserve"> picard</w:t>
      </w:r>
      <w:r w:rsidRPr="00C63D1B">
        <w:rPr>
          <w:rFonts w:eastAsiaTheme="minorEastAsia"/>
          <w:color w:val="auto"/>
          <w:szCs w:val="28"/>
        </w:rPr>
        <w:t xml:space="preserve"> et le </w:t>
      </w:r>
      <w:r w:rsidRPr="00C63D1B">
        <w:rPr>
          <w:rFonts w:eastAsiaTheme="minorEastAsia"/>
          <w:b/>
          <w:bCs/>
          <w:color w:val="auto"/>
          <w:szCs w:val="28"/>
        </w:rPr>
        <w:t>normand.</w:t>
      </w:r>
      <w:r w:rsidRPr="00C63D1B">
        <w:rPr>
          <w:rFonts w:eastAsiaTheme="minorEastAsia"/>
          <w:color w:val="auto"/>
          <w:szCs w:val="28"/>
        </w:rPr>
        <w:t xml:space="preserve"> C’est également à cette époque que se confirma la disparition définitive du système de la déclinaison à deux cas, cette disparition ayant pour conséquence syntaxique le développement du système des prépositions et des déterminants, ainsi que l’établissement d’un ordre fixe des constituants de la phrase. Cette période fut aussi une époque où les lettrés s’efforcèrent, par le biais de l’introduction de mots latins, de </w:t>
      </w:r>
      <w:proofErr w:type="spellStart"/>
      <w:r w:rsidRPr="00C63D1B">
        <w:rPr>
          <w:rFonts w:eastAsiaTheme="minorEastAsia"/>
          <w:color w:val="auto"/>
          <w:szCs w:val="28"/>
        </w:rPr>
        <w:t>relatiniser</w:t>
      </w:r>
      <w:proofErr w:type="spellEnd"/>
      <w:r w:rsidRPr="00C63D1B">
        <w:rPr>
          <w:rFonts w:eastAsiaTheme="minorEastAsia"/>
          <w:color w:val="auto"/>
          <w:szCs w:val="28"/>
        </w:rPr>
        <w:t xml:space="preserve"> le français en remplaçant ainsi un certain nombre de mots hérités par la voie de l’évolution populaire.</w:t>
      </w:r>
    </w:p>
    <w:p w:rsidR="00C63D1B" w:rsidRPr="00C63D1B" w:rsidRDefault="00C63D1B" w:rsidP="00C63D1B">
      <w:pPr>
        <w:spacing w:after="0" w:line="276" w:lineRule="auto"/>
        <w:ind w:right="0" w:firstLine="0"/>
        <w:rPr>
          <w:rFonts w:eastAsiaTheme="minorEastAsia"/>
          <w:b/>
          <w:bCs/>
          <w:color w:val="auto"/>
          <w:szCs w:val="28"/>
        </w:rPr>
      </w:pPr>
    </w:p>
    <w:p w:rsidR="00C63D1B" w:rsidRPr="007B341E" w:rsidRDefault="00C63D1B" w:rsidP="007B341E">
      <w:pPr>
        <w:pStyle w:val="Paragraphedeliste"/>
        <w:numPr>
          <w:ilvl w:val="0"/>
          <w:numId w:val="5"/>
        </w:numPr>
        <w:spacing w:after="0" w:line="276" w:lineRule="auto"/>
        <w:ind w:left="284" w:right="0" w:hanging="284"/>
        <w:rPr>
          <w:rFonts w:eastAsiaTheme="minorEastAsia"/>
          <w:b/>
          <w:bCs/>
          <w:color w:val="auto"/>
          <w:szCs w:val="28"/>
        </w:rPr>
      </w:pPr>
      <w:r w:rsidRPr="007B341E">
        <w:rPr>
          <w:rFonts w:eastAsiaTheme="minorEastAsia"/>
          <w:b/>
          <w:bCs/>
          <w:color w:val="auto"/>
          <w:szCs w:val="28"/>
        </w:rPr>
        <w:t xml:space="preserve">Le français de la Renaissance </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b/>
          <w:bCs/>
          <w:color w:val="auto"/>
          <w:szCs w:val="28"/>
        </w:rPr>
        <w:t>Au XVIe siècle</w:t>
      </w:r>
      <w:r w:rsidRPr="00C63D1B">
        <w:rPr>
          <w:rFonts w:eastAsiaTheme="minorEastAsia"/>
          <w:color w:val="auto"/>
          <w:szCs w:val="28"/>
        </w:rPr>
        <w:t xml:space="preserve">, avec le développement de l’imprimerie inventée un siècle auparavant, et la renaissance de l’intérêt pour les textes antiques que l’on traduisait, et que l’on diffusait, se posa le problème de l’harmonisation de l’orthographe. Cette harmonisation fut d’autant plus problématique que les imprimeurs avaient réintroduit un certain nombre de lettres étymologiques, comme le p de compter, censé rappeler son origine latine </w:t>
      </w:r>
      <w:proofErr w:type="spellStart"/>
      <w:r w:rsidRPr="00C63D1B">
        <w:rPr>
          <w:rFonts w:eastAsiaTheme="minorEastAsia"/>
          <w:color w:val="auto"/>
          <w:szCs w:val="28"/>
        </w:rPr>
        <w:t>computare</w:t>
      </w:r>
      <w:proofErr w:type="spellEnd"/>
      <w:r w:rsidRPr="00C63D1B">
        <w:rPr>
          <w:rFonts w:eastAsiaTheme="minorEastAsia"/>
          <w:color w:val="auto"/>
          <w:szCs w:val="28"/>
        </w:rPr>
        <w:t>.</w:t>
      </w:r>
    </w:p>
    <w:p w:rsid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 xml:space="preserve">Paradoxalement, c’est à un moment où l’on se souciait de sa relatinisation que le français gagna ses lettres de noblesse et fut illustré par les poètes de la Pléiade. Constitué autour de Ronsard et du collège de Coqueret, ce groupe réunit Jean Antoine de Baïf, Étienne </w:t>
      </w:r>
      <w:proofErr w:type="spellStart"/>
      <w:r w:rsidRPr="00C63D1B">
        <w:rPr>
          <w:rFonts w:eastAsiaTheme="minorEastAsia"/>
          <w:color w:val="auto"/>
          <w:szCs w:val="28"/>
        </w:rPr>
        <w:t>Jodelet</w:t>
      </w:r>
      <w:proofErr w:type="spellEnd"/>
      <w:r w:rsidRPr="00C63D1B">
        <w:rPr>
          <w:rFonts w:eastAsiaTheme="minorEastAsia"/>
          <w:color w:val="auto"/>
          <w:szCs w:val="28"/>
        </w:rPr>
        <w:t>, Pontus de Tyard et surtout Joachim Du Bellay, auteur de Défense et Illustration de la langue française. Ce manifeste, publié en 1549, avait pour but d’enrichir et de perfectionner la langue française — son lexique et sa syntaxe notamment — afin de soutenir sa défense contre l’usage du latin comme langue littéraire et ainsi de promouvoir une littérature en français capable de rivaliser avec ses modèles latins et grecs.</w:t>
      </w:r>
    </w:p>
    <w:p w:rsidR="00D532FE" w:rsidRPr="00C63D1B" w:rsidRDefault="00D532FE" w:rsidP="00C63D1B">
      <w:pPr>
        <w:spacing w:after="0" w:line="276" w:lineRule="auto"/>
        <w:ind w:right="0" w:firstLine="0"/>
        <w:rPr>
          <w:rFonts w:eastAsiaTheme="minorEastAsia"/>
          <w:color w:val="auto"/>
          <w:szCs w:val="28"/>
        </w:rPr>
      </w:pPr>
    </w:p>
    <w:p w:rsidR="00C63D1B" w:rsidRPr="007B341E" w:rsidRDefault="00C63D1B" w:rsidP="007B341E">
      <w:pPr>
        <w:pStyle w:val="Paragraphedeliste"/>
        <w:numPr>
          <w:ilvl w:val="0"/>
          <w:numId w:val="5"/>
        </w:numPr>
        <w:spacing w:after="0" w:line="276" w:lineRule="auto"/>
        <w:ind w:left="284" w:right="0" w:hanging="284"/>
        <w:rPr>
          <w:rFonts w:eastAsiaTheme="minorEastAsia"/>
          <w:b/>
          <w:bCs/>
          <w:color w:val="auto"/>
          <w:szCs w:val="28"/>
        </w:rPr>
      </w:pPr>
      <w:r w:rsidRPr="007B341E">
        <w:rPr>
          <w:rFonts w:eastAsiaTheme="minorEastAsia"/>
          <w:b/>
          <w:bCs/>
          <w:color w:val="auto"/>
          <w:szCs w:val="28"/>
        </w:rPr>
        <w:lastRenderedPageBreak/>
        <w:t xml:space="preserve">Du français classique au français moderne </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 xml:space="preserve">Au XVIIe siècle, pendant la période dite « classique », la grammaire française officielle fut normalisée sur le modèle de la langue parlée à la cour de </w:t>
      </w:r>
      <w:r w:rsidRPr="00C63D1B">
        <w:rPr>
          <w:rFonts w:eastAsiaTheme="minorEastAsia"/>
          <w:b/>
          <w:bCs/>
          <w:color w:val="auto"/>
          <w:szCs w:val="28"/>
        </w:rPr>
        <w:t>Louis XIV</w:t>
      </w:r>
      <w:r w:rsidRPr="000324F8">
        <w:rPr>
          <w:rFonts w:eastAsiaTheme="minorEastAsia"/>
          <w:b/>
          <w:bCs/>
          <w:color w:val="auto"/>
          <w:szCs w:val="28"/>
          <w:vertAlign w:val="superscript"/>
        </w:rPr>
        <w:footnoteReference w:id="7"/>
      </w:r>
      <w:r w:rsidRPr="00C63D1B">
        <w:rPr>
          <w:rFonts w:eastAsiaTheme="minorEastAsia"/>
          <w:color w:val="auto"/>
          <w:szCs w:val="28"/>
        </w:rPr>
        <w:t xml:space="preserve">. En 1647, le grammairien </w:t>
      </w:r>
      <w:r w:rsidRPr="00C63D1B">
        <w:rPr>
          <w:rFonts w:eastAsiaTheme="minorEastAsia"/>
          <w:b/>
          <w:bCs/>
          <w:color w:val="auto"/>
          <w:szCs w:val="28"/>
        </w:rPr>
        <w:t>Vaugelas</w:t>
      </w:r>
      <w:r w:rsidRPr="000324F8">
        <w:rPr>
          <w:rFonts w:eastAsiaTheme="minorEastAsia"/>
          <w:b/>
          <w:bCs/>
          <w:color w:val="auto"/>
          <w:szCs w:val="28"/>
          <w:vertAlign w:val="superscript"/>
        </w:rPr>
        <w:footnoteReference w:id="8"/>
      </w:r>
      <w:r w:rsidRPr="00C63D1B">
        <w:rPr>
          <w:rFonts w:eastAsiaTheme="minorEastAsia"/>
          <w:color w:val="auto"/>
          <w:szCs w:val="28"/>
        </w:rPr>
        <w:t xml:space="preserve"> publia des Remarques sur la langue française qui affirmaient la primauté de l’usage, c’est-à-dire d’une norme collective correspondant au « bon usage » de la langue, inspirée par l’idéal opposé au pédantisme, qui trouvait aussi son expression dans la figure de l’honnête homme. L’orthographe commença à être fixée, et conserva, pour l’essentiel, les enjolivements étymologiques apportés au cours des siècles précédents. </w:t>
      </w:r>
      <w:r w:rsidRPr="00C63D1B">
        <w:rPr>
          <w:rFonts w:eastAsiaTheme="minorEastAsia"/>
          <w:b/>
          <w:bCs/>
          <w:color w:val="auto"/>
          <w:szCs w:val="28"/>
        </w:rPr>
        <w:t>L’Académie française</w:t>
      </w:r>
      <w:r w:rsidRPr="000324F8">
        <w:rPr>
          <w:rFonts w:eastAsiaTheme="minorEastAsia"/>
          <w:b/>
          <w:bCs/>
          <w:color w:val="auto"/>
          <w:szCs w:val="28"/>
          <w:vertAlign w:val="superscript"/>
        </w:rPr>
        <w:footnoteReference w:id="9"/>
      </w:r>
      <w:r w:rsidRPr="00C63D1B">
        <w:rPr>
          <w:rFonts w:eastAsiaTheme="minorEastAsia"/>
          <w:color w:val="auto"/>
          <w:szCs w:val="28"/>
        </w:rPr>
        <w:t xml:space="preserve"> publia en 1694 un dictionnaire qui prescrivait le bon usage. En 1691, celui de </w:t>
      </w:r>
      <w:r w:rsidRPr="00C63D1B">
        <w:rPr>
          <w:rFonts w:eastAsiaTheme="minorEastAsia"/>
          <w:b/>
          <w:bCs/>
          <w:color w:val="auto"/>
          <w:szCs w:val="28"/>
        </w:rPr>
        <w:t>Furetière</w:t>
      </w:r>
      <w:r w:rsidRPr="000324F8">
        <w:rPr>
          <w:rFonts w:eastAsiaTheme="minorEastAsia"/>
          <w:b/>
          <w:bCs/>
          <w:color w:val="auto"/>
          <w:szCs w:val="28"/>
          <w:vertAlign w:val="superscript"/>
        </w:rPr>
        <w:footnoteReference w:id="10"/>
      </w:r>
      <w:r w:rsidRPr="00C63D1B">
        <w:rPr>
          <w:rFonts w:eastAsiaTheme="minorEastAsia"/>
          <w:color w:val="auto"/>
          <w:szCs w:val="28"/>
        </w:rPr>
        <w:t xml:space="preserve"> avait accueilli un plus grand nombre de mots à la fois scientifiques et populaires. Au XVIIIe siècle, l’orthographe fut fixée de façon plus définitive. La prononciation du e ouvert, graphitée ai, s’imposa dans les désinences des formes verbales (chantais), mais non définitivement puisque certains auteurs l’écrivaient encore </w:t>
      </w:r>
      <w:proofErr w:type="spellStart"/>
      <w:r w:rsidRPr="00C63D1B">
        <w:rPr>
          <w:rFonts w:eastAsiaTheme="minorEastAsia"/>
          <w:color w:val="auto"/>
          <w:szCs w:val="28"/>
        </w:rPr>
        <w:t>oi</w:t>
      </w:r>
      <w:proofErr w:type="spellEnd"/>
      <w:r w:rsidRPr="00C63D1B">
        <w:rPr>
          <w:rFonts w:eastAsiaTheme="minorEastAsia"/>
          <w:color w:val="auto"/>
          <w:szCs w:val="28"/>
        </w:rPr>
        <w:t xml:space="preserve"> (</w:t>
      </w:r>
      <w:proofErr w:type="spellStart"/>
      <w:r w:rsidRPr="00C63D1B">
        <w:rPr>
          <w:rFonts w:eastAsiaTheme="minorEastAsia"/>
          <w:color w:val="auto"/>
          <w:szCs w:val="28"/>
        </w:rPr>
        <w:t>chantois</w:t>
      </w:r>
      <w:proofErr w:type="spellEnd"/>
      <w:r w:rsidRPr="00C63D1B">
        <w:rPr>
          <w:rFonts w:eastAsiaTheme="minorEastAsia"/>
          <w:color w:val="auto"/>
          <w:szCs w:val="28"/>
        </w:rPr>
        <w:t xml:space="preserve">). La prononciation </w:t>
      </w:r>
      <w:proofErr w:type="spellStart"/>
      <w:r w:rsidRPr="00C63D1B">
        <w:rPr>
          <w:rFonts w:eastAsiaTheme="minorEastAsia"/>
          <w:color w:val="auto"/>
          <w:szCs w:val="28"/>
        </w:rPr>
        <w:t>wa</w:t>
      </w:r>
      <w:proofErr w:type="spellEnd"/>
      <w:r w:rsidRPr="00C63D1B">
        <w:rPr>
          <w:rFonts w:eastAsiaTheme="minorEastAsia"/>
          <w:color w:val="auto"/>
          <w:szCs w:val="28"/>
        </w:rPr>
        <w:t xml:space="preserve"> commença à se généraliser au détriment de la prononciation </w:t>
      </w:r>
      <w:proofErr w:type="spellStart"/>
      <w:r w:rsidRPr="00C63D1B">
        <w:rPr>
          <w:rFonts w:eastAsiaTheme="minorEastAsia"/>
          <w:color w:val="auto"/>
          <w:szCs w:val="28"/>
        </w:rPr>
        <w:t>wè</w:t>
      </w:r>
      <w:proofErr w:type="spellEnd"/>
      <w:r w:rsidRPr="00C63D1B">
        <w:rPr>
          <w:rFonts w:eastAsiaTheme="minorEastAsia"/>
          <w:color w:val="auto"/>
          <w:szCs w:val="28"/>
        </w:rPr>
        <w:t xml:space="preserve"> dans des mots comme roi, moi.</w:t>
      </w:r>
    </w:p>
    <w:p w:rsidR="00C63D1B" w:rsidRPr="007B341E" w:rsidRDefault="00C63D1B" w:rsidP="007B341E">
      <w:pPr>
        <w:pStyle w:val="Paragraphedeliste"/>
        <w:numPr>
          <w:ilvl w:val="0"/>
          <w:numId w:val="2"/>
        </w:numPr>
        <w:spacing w:after="0" w:line="276" w:lineRule="auto"/>
        <w:ind w:left="284" w:right="0" w:hanging="284"/>
        <w:rPr>
          <w:rFonts w:eastAsiaTheme="minorEastAsia"/>
          <w:b/>
          <w:bCs/>
          <w:color w:val="auto"/>
          <w:szCs w:val="28"/>
        </w:rPr>
      </w:pPr>
      <w:r w:rsidRPr="007B341E">
        <w:rPr>
          <w:rFonts w:eastAsiaTheme="minorEastAsia"/>
          <w:b/>
          <w:bCs/>
          <w:color w:val="auto"/>
          <w:szCs w:val="28"/>
        </w:rPr>
        <w:t xml:space="preserve">AUTRES LANGUES PARLÉES EN FRANCE </w:t>
      </w:r>
    </w:p>
    <w:p w:rsidR="00C63D1B" w:rsidRPr="00C63D1B" w:rsidRDefault="00C63D1B" w:rsidP="007B341E">
      <w:pPr>
        <w:spacing w:after="0" w:line="276" w:lineRule="auto"/>
        <w:ind w:right="0" w:firstLine="0"/>
        <w:rPr>
          <w:rFonts w:eastAsiaTheme="minorEastAsia"/>
          <w:color w:val="auto"/>
          <w:szCs w:val="28"/>
        </w:rPr>
      </w:pPr>
      <w:r w:rsidRPr="00C63D1B">
        <w:rPr>
          <w:rFonts w:eastAsiaTheme="minorEastAsia"/>
          <w:color w:val="auto"/>
          <w:szCs w:val="28"/>
        </w:rPr>
        <w:t xml:space="preserve">Il existe en France un certain nombre de régions dans lesquelles les locuteurs parlent une autre langue que le français, parfois exclusivement, mais le plus souvent en même temps que le français. Quelques-uns des parlers régionaux du territoire français sont des langues non romanes. Il s’agit du </w:t>
      </w:r>
      <w:r w:rsidRPr="00C63D1B">
        <w:rPr>
          <w:rFonts w:eastAsiaTheme="minorEastAsia"/>
          <w:b/>
          <w:bCs/>
          <w:color w:val="auto"/>
          <w:szCs w:val="28"/>
        </w:rPr>
        <w:t>breton</w:t>
      </w:r>
      <w:r w:rsidRPr="00C63D1B">
        <w:rPr>
          <w:rFonts w:eastAsiaTheme="minorEastAsia"/>
          <w:color w:val="auto"/>
          <w:szCs w:val="28"/>
        </w:rPr>
        <w:t>, qui est une langue celtique, de l’</w:t>
      </w:r>
      <w:r w:rsidRPr="00C63D1B">
        <w:rPr>
          <w:rFonts w:eastAsiaTheme="minorEastAsia"/>
          <w:b/>
          <w:bCs/>
          <w:color w:val="auto"/>
          <w:szCs w:val="28"/>
        </w:rPr>
        <w:t>alsacien</w:t>
      </w:r>
      <w:r w:rsidRPr="00C63D1B">
        <w:rPr>
          <w:rFonts w:eastAsiaTheme="minorEastAsia"/>
          <w:color w:val="auto"/>
          <w:szCs w:val="28"/>
        </w:rPr>
        <w:t xml:space="preserve">, proche des dialectes germaniques et qu’un million de personnes parlent, et du </w:t>
      </w:r>
      <w:r w:rsidRPr="00C63D1B">
        <w:rPr>
          <w:rFonts w:eastAsiaTheme="minorEastAsia"/>
          <w:b/>
          <w:bCs/>
          <w:color w:val="auto"/>
          <w:szCs w:val="28"/>
        </w:rPr>
        <w:t>flamand</w:t>
      </w:r>
      <w:r w:rsidRPr="00C63D1B">
        <w:rPr>
          <w:rFonts w:eastAsiaTheme="minorEastAsia"/>
          <w:color w:val="auto"/>
          <w:szCs w:val="28"/>
        </w:rPr>
        <w:t xml:space="preserve">, qui est différent des formes de flamand parlé en Belgique et qui concerne un petit nombre de locuteurs. Le </w:t>
      </w:r>
      <w:r w:rsidRPr="00C63D1B">
        <w:rPr>
          <w:rFonts w:eastAsiaTheme="minorEastAsia"/>
          <w:b/>
          <w:bCs/>
          <w:color w:val="auto"/>
          <w:szCs w:val="28"/>
        </w:rPr>
        <w:t>basque</w:t>
      </w:r>
      <w:r w:rsidRPr="00C63D1B">
        <w:rPr>
          <w:rFonts w:eastAsiaTheme="minorEastAsia"/>
          <w:color w:val="auto"/>
          <w:szCs w:val="28"/>
        </w:rPr>
        <w:t xml:space="preserve">, une langue non-indo-européenne sur l’origine de laquelle on s’interroge encore, est parlé des deux côtés de la frontière franco-espagnole. Les langues romanes parlées en France par un petit nombre de locuteurs sont les dialectes d’oïl, ceux d’Occitanie et de la région franco-provençale, le </w:t>
      </w:r>
      <w:r w:rsidRPr="00C63D1B">
        <w:rPr>
          <w:rFonts w:eastAsiaTheme="minorEastAsia"/>
          <w:b/>
          <w:bCs/>
          <w:color w:val="auto"/>
          <w:szCs w:val="28"/>
        </w:rPr>
        <w:t>catalan</w:t>
      </w:r>
      <w:r w:rsidRPr="00C63D1B">
        <w:rPr>
          <w:rFonts w:eastAsiaTheme="minorEastAsia"/>
          <w:color w:val="auto"/>
          <w:szCs w:val="28"/>
        </w:rPr>
        <w:t xml:space="preserve">, également parlé en Espagne et le </w:t>
      </w:r>
      <w:r w:rsidRPr="00C63D1B">
        <w:rPr>
          <w:rFonts w:eastAsiaTheme="minorEastAsia"/>
          <w:b/>
          <w:bCs/>
          <w:color w:val="auto"/>
          <w:szCs w:val="28"/>
        </w:rPr>
        <w:t>corse</w:t>
      </w:r>
      <w:r w:rsidRPr="00C63D1B">
        <w:rPr>
          <w:rFonts w:eastAsiaTheme="minorEastAsia"/>
          <w:color w:val="auto"/>
          <w:szCs w:val="28"/>
        </w:rPr>
        <w:t xml:space="preserve">, proche de l’italien. </w:t>
      </w:r>
    </w:p>
    <w:p w:rsidR="00C63D1B" w:rsidRPr="007B341E" w:rsidRDefault="00C63D1B" w:rsidP="007B341E">
      <w:pPr>
        <w:pStyle w:val="Paragraphedeliste"/>
        <w:numPr>
          <w:ilvl w:val="0"/>
          <w:numId w:val="3"/>
        </w:numPr>
        <w:spacing w:after="0" w:line="276" w:lineRule="auto"/>
        <w:ind w:left="284" w:right="0" w:hanging="284"/>
        <w:rPr>
          <w:rFonts w:eastAsiaTheme="minorEastAsia"/>
          <w:b/>
          <w:bCs/>
          <w:color w:val="auto"/>
          <w:szCs w:val="28"/>
        </w:rPr>
      </w:pPr>
      <w:r w:rsidRPr="007B341E">
        <w:rPr>
          <w:rFonts w:eastAsiaTheme="minorEastAsia"/>
          <w:b/>
          <w:bCs/>
          <w:color w:val="auto"/>
          <w:szCs w:val="28"/>
        </w:rPr>
        <w:t xml:space="preserve">Langue d’oc et langue d’oïl </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lastRenderedPageBreak/>
        <w:t>À partir du IXe siècle, on décèle une ligne de démarcation linguistique correspondant au tracé de la Loire et séparant la langue d'oïl, au nord, de la langue d'oc, au sud.</w:t>
      </w:r>
    </w:p>
    <w:p w:rsidR="007B341E" w:rsidRDefault="00C63D1B" w:rsidP="007B341E">
      <w:pPr>
        <w:pStyle w:val="Paragraphedeliste"/>
        <w:numPr>
          <w:ilvl w:val="0"/>
          <w:numId w:val="3"/>
        </w:numPr>
        <w:spacing w:after="0" w:line="276" w:lineRule="auto"/>
        <w:ind w:left="284" w:right="0" w:hanging="284"/>
        <w:rPr>
          <w:rFonts w:eastAsiaTheme="minorEastAsia"/>
          <w:color w:val="auto"/>
          <w:szCs w:val="28"/>
        </w:rPr>
      </w:pPr>
      <w:r w:rsidRPr="007B341E">
        <w:rPr>
          <w:rFonts w:eastAsiaTheme="minorEastAsia"/>
          <w:b/>
          <w:bCs/>
          <w:color w:val="auto"/>
          <w:szCs w:val="28"/>
        </w:rPr>
        <w:t>La langue d'oc</w:t>
      </w:r>
      <w:r w:rsidRPr="007B341E">
        <w:rPr>
          <w:rFonts w:eastAsiaTheme="minorEastAsia"/>
          <w:color w:val="auto"/>
          <w:szCs w:val="28"/>
        </w:rPr>
        <w:t xml:space="preserve"> comprend de très nombreux di</w:t>
      </w:r>
      <w:r w:rsidR="007B341E">
        <w:rPr>
          <w:rFonts w:eastAsiaTheme="minorEastAsia"/>
          <w:color w:val="auto"/>
          <w:szCs w:val="28"/>
        </w:rPr>
        <w:t>alectes dont on connaît mal les</w:t>
      </w:r>
    </w:p>
    <w:p w:rsidR="00C63D1B" w:rsidRPr="007B341E" w:rsidRDefault="00C63D1B" w:rsidP="007B341E">
      <w:pPr>
        <w:spacing w:after="0" w:line="276" w:lineRule="auto"/>
        <w:ind w:right="0" w:firstLine="0"/>
        <w:rPr>
          <w:rFonts w:eastAsiaTheme="minorEastAsia"/>
          <w:color w:val="auto"/>
          <w:szCs w:val="28"/>
        </w:rPr>
      </w:pPr>
      <w:proofErr w:type="gramStart"/>
      <w:r w:rsidRPr="007B341E">
        <w:rPr>
          <w:rFonts w:eastAsiaTheme="minorEastAsia"/>
          <w:color w:val="auto"/>
          <w:szCs w:val="28"/>
        </w:rPr>
        <w:t>caractères</w:t>
      </w:r>
      <w:proofErr w:type="gramEnd"/>
      <w:r w:rsidRPr="007B341E">
        <w:rPr>
          <w:rFonts w:eastAsiaTheme="minorEastAsia"/>
          <w:color w:val="auto"/>
          <w:szCs w:val="28"/>
        </w:rPr>
        <w:t xml:space="preserve"> distinctifs. On les regroupe sous les noms de provençal, </w:t>
      </w:r>
      <w:r w:rsidRPr="007B341E">
        <w:rPr>
          <w:rFonts w:eastAsiaTheme="minorEastAsia"/>
          <w:b/>
          <w:bCs/>
          <w:color w:val="auto"/>
          <w:szCs w:val="28"/>
        </w:rPr>
        <w:t>languedocien, gascon, limousin, auvergnat, dauphinois et savoisien</w:t>
      </w:r>
      <w:r w:rsidRPr="007B341E">
        <w:rPr>
          <w:rFonts w:eastAsiaTheme="minorEastAsia"/>
          <w:color w:val="auto"/>
          <w:szCs w:val="28"/>
        </w:rPr>
        <w:t>. La langue d'oc, langue des troubadours, fixée dès le Xe siècle, s'est peu à peu limitée à un parler quotidien dont ont hérité les patois locaux.</w:t>
      </w:r>
    </w:p>
    <w:p w:rsidR="00C63D1B" w:rsidRPr="00C63D1B" w:rsidRDefault="00C63D1B" w:rsidP="00C63D1B">
      <w:pPr>
        <w:spacing w:after="0" w:line="276" w:lineRule="auto"/>
        <w:ind w:right="0" w:firstLine="0"/>
        <w:rPr>
          <w:rFonts w:eastAsiaTheme="minorEastAsia"/>
          <w:color w:val="auto"/>
          <w:szCs w:val="28"/>
        </w:rPr>
      </w:pPr>
      <w:r w:rsidRPr="00C63D1B">
        <w:rPr>
          <w:rFonts w:eastAsiaTheme="minorEastAsia"/>
          <w:color w:val="auto"/>
          <w:szCs w:val="28"/>
        </w:rPr>
        <w:t xml:space="preserve">Sous le terme </w:t>
      </w:r>
      <w:r w:rsidRPr="00C63D1B">
        <w:rPr>
          <w:rFonts w:eastAsiaTheme="minorEastAsia"/>
          <w:b/>
          <w:bCs/>
          <w:color w:val="auto"/>
          <w:szCs w:val="28"/>
        </w:rPr>
        <w:t>de langue d'oïl,</w:t>
      </w:r>
      <w:r w:rsidRPr="00C63D1B">
        <w:rPr>
          <w:rFonts w:eastAsiaTheme="minorEastAsia"/>
          <w:color w:val="auto"/>
          <w:szCs w:val="28"/>
        </w:rPr>
        <w:t xml:space="preserve"> on rassemble différents dialectes dont les principaux sont le </w:t>
      </w:r>
      <w:r w:rsidRPr="00C63D1B">
        <w:rPr>
          <w:rFonts w:eastAsiaTheme="minorEastAsia"/>
          <w:b/>
          <w:bCs/>
          <w:color w:val="auto"/>
          <w:szCs w:val="28"/>
        </w:rPr>
        <w:t>normand</w:t>
      </w:r>
      <w:r w:rsidRPr="00C63D1B">
        <w:rPr>
          <w:rFonts w:eastAsiaTheme="minorEastAsia"/>
          <w:color w:val="auto"/>
          <w:szCs w:val="28"/>
        </w:rPr>
        <w:t xml:space="preserve"> à l'ouest, le </w:t>
      </w:r>
      <w:r w:rsidRPr="00C63D1B">
        <w:rPr>
          <w:rFonts w:eastAsiaTheme="minorEastAsia"/>
          <w:b/>
          <w:bCs/>
          <w:color w:val="auto"/>
          <w:szCs w:val="28"/>
        </w:rPr>
        <w:t>picard</w:t>
      </w:r>
      <w:r w:rsidRPr="00C63D1B">
        <w:rPr>
          <w:rFonts w:eastAsiaTheme="minorEastAsia"/>
          <w:color w:val="auto"/>
          <w:szCs w:val="28"/>
        </w:rPr>
        <w:t xml:space="preserve"> et le</w:t>
      </w:r>
      <w:r w:rsidRPr="00C63D1B">
        <w:rPr>
          <w:rFonts w:eastAsiaTheme="minorEastAsia"/>
          <w:b/>
          <w:bCs/>
          <w:color w:val="auto"/>
          <w:szCs w:val="28"/>
        </w:rPr>
        <w:t xml:space="preserve"> wallon</w:t>
      </w:r>
      <w:r w:rsidRPr="00C63D1B">
        <w:rPr>
          <w:rFonts w:eastAsiaTheme="minorEastAsia"/>
          <w:color w:val="auto"/>
          <w:szCs w:val="28"/>
        </w:rPr>
        <w:t xml:space="preserve"> au nord, le </w:t>
      </w:r>
      <w:r w:rsidRPr="00C63D1B">
        <w:rPr>
          <w:rFonts w:eastAsiaTheme="minorEastAsia"/>
          <w:b/>
          <w:bCs/>
          <w:color w:val="auto"/>
          <w:szCs w:val="28"/>
        </w:rPr>
        <w:t>champenois</w:t>
      </w:r>
      <w:r w:rsidRPr="00C63D1B">
        <w:rPr>
          <w:rFonts w:eastAsiaTheme="minorEastAsia"/>
          <w:color w:val="auto"/>
          <w:szCs w:val="28"/>
        </w:rPr>
        <w:t xml:space="preserve">, le </w:t>
      </w:r>
      <w:r w:rsidRPr="00C63D1B">
        <w:rPr>
          <w:rFonts w:eastAsiaTheme="minorEastAsia"/>
          <w:b/>
          <w:bCs/>
          <w:color w:val="auto"/>
          <w:szCs w:val="28"/>
        </w:rPr>
        <w:t>lorrain</w:t>
      </w:r>
      <w:r w:rsidRPr="00C63D1B">
        <w:rPr>
          <w:rFonts w:eastAsiaTheme="minorEastAsia"/>
          <w:color w:val="auto"/>
          <w:szCs w:val="28"/>
        </w:rPr>
        <w:t xml:space="preserve"> et le </w:t>
      </w:r>
      <w:r w:rsidRPr="00C63D1B">
        <w:rPr>
          <w:rFonts w:eastAsiaTheme="minorEastAsia"/>
          <w:b/>
          <w:bCs/>
          <w:color w:val="auto"/>
          <w:szCs w:val="28"/>
        </w:rPr>
        <w:t>bourguignon</w:t>
      </w:r>
      <w:r w:rsidRPr="00C63D1B">
        <w:rPr>
          <w:rFonts w:eastAsiaTheme="minorEastAsia"/>
          <w:color w:val="auto"/>
          <w:szCs w:val="28"/>
        </w:rPr>
        <w:t xml:space="preserve"> à l'est, et le </w:t>
      </w:r>
      <w:r w:rsidRPr="00C63D1B">
        <w:rPr>
          <w:rFonts w:eastAsiaTheme="minorEastAsia"/>
          <w:b/>
          <w:bCs/>
          <w:color w:val="auto"/>
          <w:szCs w:val="28"/>
        </w:rPr>
        <w:t>francien</w:t>
      </w:r>
      <w:r w:rsidRPr="00C63D1B">
        <w:rPr>
          <w:rFonts w:eastAsiaTheme="minorEastAsia"/>
          <w:color w:val="auto"/>
          <w:szCs w:val="28"/>
        </w:rPr>
        <w:t xml:space="preserve"> (dialecte de l'Île-de-France). Ces dialectes ne nous sont connus que parce qu'ils ont teinté de leurs particularismes une langue écrite commune dont l'unité apparaît clairement et qui constitue l'ancien français proprement dit. Liée à l'unification politique, l'unification d'un modèle linguistique commun à tout le royaume s'est faite à partir du domaine d'oïl, plus proche du pouvoir central.</w:t>
      </w:r>
    </w:p>
    <w:p w:rsidR="00C63D1B" w:rsidRPr="00C63D1B" w:rsidRDefault="00C63D1B" w:rsidP="00C63D1B">
      <w:pPr>
        <w:spacing w:after="200" w:line="276" w:lineRule="auto"/>
        <w:ind w:right="0" w:firstLine="0"/>
        <w:jc w:val="left"/>
        <w:rPr>
          <w:rFonts w:eastAsiaTheme="minorEastAsia"/>
          <w:color w:val="auto"/>
          <w:szCs w:val="28"/>
        </w:rPr>
      </w:pPr>
    </w:p>
    <w:p w:rsidR="009F09AE" w:rsidRPr="000324F8" w:rsidRDefault="00B15D98">
      <w:pPr>
        <w:spacing w:after="0" w:line="259" w:lineRule="auto"/>
        <w:ind w:left="720" w:right="0" w:firstLine="0"/>
        <w:jc w:val="left"/>
        <w:rPr>
          <w:szCs w:val="28"/>
        </w:rPr>
      </w:pPr>
      <w:r w:rsidRPr="000324F8">
        <w:rPr>
          <w:szCs w:val="28"/>
        </w:rPr>
        <w:t xml:space="preserve"> </w:t>
      </w:r>
    </w:p>
    <w:sectPr w:rsidR="009F09AE" w:rsidRPr="000324F8" w:rsidSect="0064344A">
      <w:pgSz w:w="12240" w:h="15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12A4" w:rsidRDefault="003F12A4" w:rsidP="00C758BD">
      <w:pPr>
        <w:spacing w:after="0" w:line="240" w:lineRule="auto"/>
      </w:pPr>
      <w:r>
        <w:separator/>
      </w:r>
    </w:p>
  </w:endnote>
  <w:endnote w:type="continuationSeparator" w:id="0">
    <w:p w:rsidR="003F12A4" w:rsidRDefault="003F12A4" w:rsidP="00C75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12A4" w:rsidRDefault="003F12A4" w:rsidP="00C758BD">
      <w:pPr>
        <w:spacing w:after="0" w:line="240" w:lineRule="auto"/>
      </w:pPr>
      <w:r>
        <w:separator/>
      </w:r>
    </w:p>
  </w:footnote>
  <w:footnote w:type="continuationSeparator" w:id="0">
    <w:p w:rsidR="003F12A4" w:rsidRDefault="003F12A4" w:rsidP="00C758BD">
      <w:pPr>
        <w:spacing w:after="0" w:line="240" w:lineRule="auto"/>
      </w:pPr>
      <w:r>
        <w:continuationSeparator/>
      </w:r>
    </w:p>
  </w:footnote>
  <w:footnote w:id="1">
    <w:p w:rsidR="00C63D1B" w:rsidRPr="0064344A" w:rsidRDefault="00C63D1B" w:rsidP="00C63D1B">
      <w:pPr>
        <w:pStyle w:val="Notedebasdepage"/>
        <w:rPr>
          <w:rFonts w:ascii="Times New Roman" w:hAnsi="Times New Roman" w:cs="Times New Roman"/>
        </w:rPr>
      </w:pPr>
      <w:r>
        <w:rPr>
          <w:rStyle w:val="Appelnotedebasdep"/>
        </w:rPr>
        <w:footnoteRef/>
      </w:r>
      <w:r>
        <w:t xml:space="preserve"> </w:t>
      </w:r>
      <w:r w:rsidRPr="0064344A">
        <w:rPr>
          <w:rFonts w:ascii="Times New Roman" w:hAnsi="Times New Roman" w:cs="Times New Roman"/>
        </w:rPr>
        <w:t>Vercingétorix (72-46 av. J.-C.), noble gaulois, chef de la tribu des Arvernes.</w:t>
      </w:r>
    </w:p>
    <w:p w:rsidR="00C63D1B" w:rsidRPr="0064344A" w:rsidRDefault="00C63D1B" w:rsidP="00C63D1B">
      <w:pPr>
        <w:pStyle w:val="Notedebasdepage"/>
        <w:rPr>
          <w:rFonts w:ascii="Times New Roman" w:hAnsi="Times New Roman" w:cs="Times New Roman"/>
        </w:rPr>
      </w:pPr>
      <w:r w:rsidRPr="0064344A">
        <w:rPr>
          <w:rFonts w:ascii="Times New Roman" w:hAnsi="Times New Roman" w:cs="Times New Roman"/>
        </w:rPr>
        <w:t>En neuf mois, Vercingétorix a réussi à unir les peuples de la Gaule contre l’envahisseur romain, mais a dû capituler après le siège d’Alésia.</w:t>
      </w:r>
    </w:p>
    <w:p w:rsidR="00C63D1B" w:rsidRPr="0064344A" w:rsidRDefault="00C63D1B" w:rsidP="00C63D1B">
      <w:pPr>
        <w:pStyle w:val="Notedebasdepage"/>
        <w:rPr>
          <w:rFonts w:ascii="Times New Roman" w:hAnsi="Times New Roman" w:cs="Times New Roman"/>
        </w:rPr>
      </w:pPr>
    </w:p>
    <w:p w:rsidR="00C63D1B" w:rsidRDefault="00C63D1B" w:rsidP="00C63D1B">
      <w:pPr>
        <w:pStyle w:val="Notedebasdepage"/>
      </w:pPr>
    </w:p>
  </w:footnote>
  <w:footnote w:id="2">
    <w:p w:rsidR="00C63D1B" w:rsidRPr="000324F8" w:rsidRDefault="00C63D1B" w:rsidP="000324F8">
      <w:pPr>
        <w:pStyle w:val="Notedebasdepage"/>
        <w:rPr>
          <w:rFonts w:ascii="Times New Roman" w:hAnsi="Times New Roman" w:cs="Times New Roman"/>
        </w:rPr>
      </w:pPr>
      <w:r>
        <w:rPr>
          <w:rStyle w:val="Appelnotedebasdep"/>
        </w:rPr>
        <w:footnoteRef/>
      </w:r>
      <w:r>
        <w:t xml:space="preserve"> </w:t>
      </w:r>
      <w:r w:rsidRPr="000324F8">
        <w:rPr>
          <w:rFonts w:ascii="Times New Roman" w:hAnsi="Times New Roman" w:cs="Times New Roman"/>
        </w:rPr>
        <w:t>Commun à l'Espagne et au Portugal.</w:t>
      </w:r>
    </w:p>
  </w:footnote>
  <w:footnote w:id="3">
    <w:p w:rsidR="00C63D1B" w:rsidRPr="000324F8" w:rsidRDefault="00C63D1B" w:rsidP="00C63D1B">
      <w:pPr>
        <w:pStyle w:val="Notedebasdepage"/>
        <w:rPr>
          <w:rFonts w:ascii="Times New Roman" w:hAnsi="Times New Roman" w:cs="Times New Roman"/>
        </w:rPr>
      </w:pPr>
      <w:r w:rsidRPr="000324F8">
        <w:rPr>
          <w:rStyle w:val="Appelnotedebasdep"/>
          <w:rFonts w:ascii="Times New Roman" w:hAnsi="Times New Roman" w:cs="Times New Roman"/>
        </w:rPr>
        <w:footnoteRef/>
      </w:r>
      <w:r w:rsidRPr="000324F8">
        <w:rPr>
          <w:rFonts w:ascii="Times New Roman" w:hAnsi="Times New Roman" w:cs="Times New Roman"/>
        </w:rPr>
        <w:t xml:space="preserve"> Au Moyen Âge de la deuxième dynastie des Francs qui régna du VIIIe au Xe siècle et dont fit partie Charlemagne </w:t>
      </w:r>
    </w:p>
    <w:p w:rsidR="00C63D1B" w:rsidRPr="000324F8" w:rsidRDefault="00C63D1B" w:rsidP="00C63D1B">
      <w:pPr>
        <w:pStyle w:val="Notedebasdepage"/>
        <w:rPr>
          <w:rFonts w:ascii="Times New Roman" w:hAnsi="Times New Roman" w:cs="Times New Roman"/>
        </w:rPr>
      </w:pPr>
    </w:p>
  </w:footnote>
  <w:footnote w:id="4">
    <w:p w:rsidR="00C63D1B" w:rsidRPr="000324F8" w:rsidRDefault="00C63D1B" w:rsidP="000324F8">
      <w:pPr>
        <w:pStyle w:val="Notedebasdepage"/>
        <w:rPr>
          <w:rFonts w:ascii="Times New Roman" w:hAnsi="Times New Roman" w:cs="Times New Roman"/>
        </w:rPr>
      </w:pPr>
      <w:r w:rsidRPr="000324F8">
        <w:rPr>
          <w:rStyle w:val="Appelnotedebasdep"/>
          <w:rFonts w:ascii="Times New Roman" w:hAnsi="Times New Roman" w:cs="Times New Roman"/>
        </w:rPr>
        <w:footnoteRef/>
      </w:r>
      <w:r w:rsidRPr="000324F8">
        <w:rPr>
          <w:rFonts w:ascii="Times New Roman" w:hAnsi="Times New Roman" w:cs="Times New Roman"/>
        </w:rPr>
        <w:t xml:space="preserve"> Changement de forme (d'un mot ou d'un terme) selon sa fonction dans le contexte.  </w:t>
      </w:r>
    </w:p>
  </w:footnote>
  <w:footnote w:id="5">
    <w:p w:rsidR="00C63D1B" w:rsidRPr="000324F8" w:rsidRDefault="00C63D1B" w:rsidP="00C63D1B">
      <w:pPr>
        <w:pStyle w:val="Notedebasdepage"/>
        <w:rPr>
          <w:rFonts w:ascii="Times New Roman" w:hAnsi="Times New Roman" w:cs="Times New Roman"/>
        </w:rPr>
      </w:pPr>
      <w:r w:rsidRPr="000324F8">
        <w:rPr>
          <w:rStyle w:val="Appelnotedebasdep"/>
          <w:rFonts w:ascii="Times New Roman" w:hAnsi="Times New Roman" w:cs="Times New Roman"/>
        </w:rPr>
        <w:footnoteRef/>
      </w:r>
      <w:r w:rsidRPr="000324F8">
        <w:rPr>
          <w:rFonts w:ascii="Times New Roman" w:hAnsi="Times New Roman" w:cs="Times New Roman"/>
        </w:rPr>
        <w:t xml:space="preserve"> L'accusatif sert le plus souvent au complément d'objet direct : </w:t>
      </w:r>
      <w:proofErr w:type="spellStart"/>
      <w:r w:rsidRPr="000324F8">
        <w:rPr>
          <w:rFonts w:ascii="Times New Roman" w:hAnsi="Times New Roman" w:cs="Times New Roman"/>
          <w:i/>
          <w:iCs/>
        </w:rPr>
        <w:t>grammaticam</w:t>
      </w:r>
      <w:proofErr w:type="spellEnd"/>
    </w:p>
  </w:footnote>
  <w:footnote w:id="6">
    <w:p w:rsidR="00C63D1B" w:rsidRPr="000324F8" w:rsidRDefault="00C63D1B" w:rsidP="00C63D1B">
      <w:pPr>
        <w:pStyle w:val="Notedebasdepage"/>
        <w:rPr>
          <w:rFonts w:ascii="Times New Roman" w:hAnsi="Times New Roman" w:cs="Times New Roman"/>
        </w:rPr>
      </w:pPr>
      <w:r w:rsidRPr="000324F8">
        <w:rPr>
          <w:rStyle w:val="Appelnotedebasdep"/>
          <w:rFonts w:ascii="Times New Roman" w:hAnsi="Times New Roman" w:cs="Times New Roman"/>
        </w:rPr>
        <w:footnoteRef/>
      </w:r>
      <w:r w:rsidRPr="000324F8">
        <w:rPr>
          <w:rFonts w:ascii="Times New Roman" w:hAnsi="Times New Roman" w:cs="Times New Roman"/>
        </w:rPr>
        <w:t xml:space="preserve"> L'ablatif est un cas servant principalement aux compléments circonstanciels.</w:t>
      </w:r>
    </w:p>
  </w:footnote>
  <w:footnote w:id="7">
    <w:p w:rsidR="00C63D1B" w:rsidRPr="007A1B2D" w:rsidRDefault="00C63D1B" w:rsidP="007A1B2D">
      <w:pPr>
        <w:pStyle w:val="Notedebasdepage"/>
        <w:rPr>
          <w:rFonts w:ascii="Times New Roman" w:hAnsi="Times New Roman" w:cs="Times New Roman"/>
          <w:sz w:val="18"/>
          <w:szCs w:val="18"/>
        </w:rPr>
      </w:pPr>
      <w:r>
        <w:rPr>
          <w:rStyle w:val="Appelnotedebasdep"/>
        </w:rPr>
        <w:footnoteRef/>
      </w:r>
      <w:r>
        <w:t xml:space="preserve"> </w:t>
      </w:r>
      <w:r w:rsidRPr="007A1B2D">
        <w:rPr>
          <w:rFonts w:ascii="Times New Roman" w:hAnsi="Times New Roman" w:cs="Times New Roman"/>
          <w:sz w:val="18"/>
          <w:szCs w:val="18"/>
        </w:rPr>
        <w:t>Louis XIV (1638-1715) est un roi de France de la dynastie des Bourbons ; surnommé « le Grand » ou « le Roi-Soleil », il a eu le plus long règne de l’histoire de France (1643-1715).</w:t>
      </w:r>
    </w:p>
  </w:footnote>
  <w:footnote w:id="8">
    <w:p w:rsidR="00C63D1B" w:rsidRPr="007A1B2D" w:rsidRDefault="00C63D1B" w:rsidP="007A1B2D">
      <w:pPr>
        <w:pStyle w:val="Notedebasdepage"/>
        <w:rPr>
          <w:rFonts w:ascii="Times New Roman" w:hAnsi="Times New Roman" w:cs="Times New Roman"/>
          <w:sz w:val="18"/>
          <w:szCs w:val="18"/>
        </w:rPr>
      </w:pPr>
      <w:r w:rsidRPr="007A1B2D">
        <w:rPr>
          <w:rStyle w:val="Appelnotedebasdep"/>
          <w:rFonts w:ascii="Times New Roman" w:hAnsi="Times New Roman" w:cs="Times New Roman"/>
          <w:sz w:val="18"/>
          <w:szCs w:val="18"/>
        </w:rPr>
        <w:footnoteRef/>
      </w:r>
      <w:r w:rsidRPr="007A1B2D">
        <w:rPr>
          <w:rFonts w:ascii="Times New Roman" w:hAnsi="Times New Roman" w:cs="Times New Roman"/>
          <w:sz w:val="18"/>
          <w:szCs w:val="18"/>
        </w:rPr>
        <w:t xml:space="preserve"> Vaugelas, Claude Favre, seigneur de (1585-1650), traducteur, linguiste et grammairien français qui contribua par ses travaux à « régler » la langue.</w:t>
      </w:r>
    </w:p>
  </w:footnote>
  <w:footnote w:id="9">
    <w:p w:rsidR="00C63D1B" w:rsidRPr="007A1B2D" w:rsidRDefault="00C63D1B" w:rsidP="007A1B2D">
      <w:pPr>
        <w:pStyle w:val="Notedebasdepage"/>
        <w:rPr>
          <w:rFonts w:ascii="Times New Roman" w:hAnsi="Times New Roman" w:cs="Times New Roman"/>
          <w:sz w:val="18"/>
          <w:szCs w:val="18"/>
        </w:rPr>
      </w:pPr>
      <w:r w:rsidRPr="007A1B2D">
        <w:rPr>
          <w:rStyle w:val="Appelnotedebasdep"/>
          <w:rFonts w:ascii="Times New Roman" w:hAnsi="Times New Roman" w:cs="Times New Roman"/>
          <w:sz w:val="18"/>
          <w:szCs w:val="18"/>
        </w:rPr>
        <w:footnoteRef/>
      </w:r>
      <w:r w:rsidRPr="007A1B2D">
        <w:rPr>
          <w:rFonts w:ascii="Times New Roman" w:hAnsi="Times New Roman" w:cs="Times New Roman"/>
          <w:sz w:val="18"/>
          <w:szCs w:val="18"/>
        </w:rPr>
        <w:t xml:space="preserve"> L'Académie française, fondée en 1635 par le cardinal de Richelieu a, à l'origine, la mission de fixer la langue française, de lui donner des règles, de la rendre compréhensive par tous.</w:t>
      </w:r>
    </w:p>
  </w:footnote>
  <w:footnote w:id="10">
    <w:p w:rsidR="00C63D1B" w:rsidRPr="007A1B2D" w:rsidRDefault="00C63D1B" w:rsidP="007A1B2D">
      <w:pPr>
        <w:pStyle w:val="Notedebasdepage"/>
        <w:rPr>
          <w:rFonts w:ascii="Times New Roman" w:hAnsi="Times New Roman" w:cs="Times New Roman"/>
          <w:sz w:val="18"/>
          <w:szCs w:val="18"/>
        </w:rPr>
      </w:pPr>
      <w:r w:rsidRPr="007A1B2D">
        <w:rPr>
          <w:rStyle w:val="Appelnotedebasdep"/>
          <w:rFonts w:ascii="Times New Roman" w:hAnsi="Times New Roman" w:cs="Times New Roman"/>
          <w:sz w:val="18"/>
          <w:szCs w:val="18"/>
        </w:rPr>
        <w:footnoteRef/>
      </w:r>
      <w:r w:rsidRPr="007A1B2D">
        <w:rPr>
          <w:rFonts w:ascii="Times New Roman" w:hAnsi="Times New Roman" w:cs="Times New Roman"/>
          <w:sz w:val="18"/>
          <w:szCs w:val="18"/>
        </w:rPr>
        <w:t xml:space="preserve"> Furetière, Antoine (1619-1688), écrivain français à qui l'on doit le Dictionnaire universel, publié en 1690.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A932B3"/>
    <w:multiLevelType w:val="hybridMultilevel"/>
    <w:tmpl w:val="4FC486C4"/>
    <w:lvl w:ilvl="0" w:tplc="83062432">
      <w:start w:val="1"/>
      <w:numFmt w:val="decimal"/>
      <w:lvlText w:val="%1."/>
      <w:lvlJc w:val="left"/>
      <w:pPr>
        <w:ind w:left="70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F6ACB18C">
      <w:start w:val="1"/>
      <w:numFmt w:val="lowerLetter"/>
      <w:lvlText w:val="%2"/>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B7108250">
      <w:start w:val="1"/>
      <w:numFmt w:val="lowerRoman"/>
      <w:lvlText w:val="%3"/>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B1FA67CA">
      <w:start w:val="1"/>
      <w:numFmt w:val="decimal"/>
      <w:lvlText w:val="%4"/>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4C18B9D4">
      <w:start w:val="1"/>
      <w:numFmt w:val="lowerLetter"/>
      <w:lvlText w:val="%5"/>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7FEE4C94">
      <w:start w:val="1"/>
      <w:numFmt w:val="lowerRoman"/>
      <w:lvlText w:val="%6"/>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228E024A">
      <w:start w:val="1"/>
      <w:numFmt w:val="decimal"/>
      <w:lvlText w:val="%7"/>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1908C922">
      <w:start w:val="1"/>
      <w:numFmt w:val="lowerLetter"/>
      <w:lvlText w:val="%8"/>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D0026422">
      <w:start w:val="1"/>
      <w:numFmt w:val="lowerRoman"/>
      <w:lvlText w:val="%9"/>
      <w:lvlJc w:val="left"/>
      <w:pPr>
        <w:ind w:left="68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296076E6"/>
    <w:multiLevelType w:val="hybridMultilevel"/>
    <w:tmpl w:val="1A3E0258"/>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79F62EC"/>
    <w:multiLevelType w:val="hybridMultilevel"/>
    <w:tmpl w:val="33D4AD9C"/>
    <w:lvl w:ilvl="0" w:tplc="2934FBF6">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698F71DC"/>
    <w:multiLevelType w:val="hybridMultilevel"/>
    <w:tmpl w:val="4AF40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A4D6553"/>
    <w:multiLevelType w:val="hybridMultilevel"/>
    <w:tmpl w:val="3AB46DC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9AE"/>
    <w:rsid w:val="000324F8"/>
    <w:rsid w:val="000378D4"/>
    <w:rsid w:val="000D2795"/>
    <w:rsid w:val="0013293F"/>
    <w:rsid w:val="001B2689"/>
    <w:rsid w:val="00246DAA"/>
    <w:rsid w:val="00270DF2"/>
    <w:rsid w:val="00274026"/>
    <w:rsid w:val="0030167B"/>
    <w:rsid w:val="003403E2"/>
    <w:rsid w:val="00351647"/>
    <w:rsid w:val="003A0229"/>
    <w:rsid w:val="003A15AF"/>
    <w:rsid w:val="003D0D97"/>
    <w:rsid w:val="003F12A4"/>
    <w:rsid w:val="004D226F"/>
    <w:rsid w:val="005E561C"/>
    <w:rsid w:val="005F68A5"/>
    <w:rsid w:val="0064344A"/>
    <w:rsid w:val="00651C83"/>
    <w:rsid w:val="00657F54"/>
    <w:rsid w:val="006947B5"/>
    <w:rsid w:val="007A1B2D"/>
    <w:rsid w:val="007B341E"/>
    <w:rsid w:val="008273D2"/>
    <w:rsid w:val="0084396A"/>
    <w:rsid w:val="009F09AE"/>
    <w:rsid w:val="00A9443D"/>
    <w:rsid w:val="00AA7442"/>
    <w:rsid w:val="00B15D98"/>
    <w:rsid w:val="00BF78D5"/>
    <w:rsid w:val="00C63D1B"/>
    <w:rsid w:val="00C758BD"/>
    <w:rsid w:val="00D12489"/>
    <w:rsid w:val="00D532FE"/>
    <w:rsid w:val="00D74C1A"/>
    <w:rsid w:val="00E60F00"/>
    <w:rsid w:val="00E829F0"/>
    <w:rsid w:val="00F6066A"/>
    <w:rsid w:val="00FF03A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40E99A-BB77-4E8D-A19F-C8C099977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2" w:line="357" w:lineRule="auto"/>
      <w:ind w:right="76" w:firstLine="710"/>
      <w:jc w:val="both"/>
    </w:pPr>
    <w:rPr>
      <w:rFonts w:ascii="Times New Roman" w:eastAsia="Times New Roman" w:hAnsi="Times New Roman" w:cs="Times New Roman"/>
      <w:color w:val="000000"/>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758BD"/>
    <w:pPr>
      <w:tabs>
        <w:tab w:val="center" w:pos="4536"/>
        <w:tab w:val="right" w:pos="9072"/>
      </w:tabs>
      <w:spacing w:after="0" w:line="240" w:lineRule="auto"/>
    </w:pPr>
  </w:style>
  <w:style w:type="character" w:customStyle="1" w:styleId="En-tteCar">
    <w:name w:val="En-tête Car"/>
    <w:basedOn w:val="Policepardfaut"/>
    <w:link w:val="En-tte"/>
    <w:uiPriority w:val="99"/>
    <w:rsid w:val="00C758BD"/>
    <w:rPr>
      <w:rFonts w:ascii="Times New Roman" w:eastAsia="Times New Roman" w:hAnsi="Times New Roman" w:cs="Times New Roman"/>
      <w:color w:val="000000"/>
      <w:sz w:val="28"/>
    </w:rPr>
  </w:style>
  <w:style w:type="paragraph" w:styleId="Pieddepage">
    <w:name w:val="footer"/>
    <w:basedOn w:val="Normal"/>
    <w:link w:val="PieddepageCar"/>
    <w:uiPriority w:val="99"/>
    <w:unhideWhenUsed/>
    <w:rsid w:val="00C758B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758BD"/>
    <w:rPr>
      <w:rFonts w:ascii="Times New Roman" w:eastAsia="Times New Roman" w:hAnsi="Times New Roman" w:cs="Times New Roman"/>
      <w:color w:val="000000"/>
      <w:sz w:val="28"/>
    </w:rPr>
  </w:style>
  <w:style w:type="paragraph" w:styleId="Notedebasdepage">
    <w:name w:val="footnote text"/>
    <w:basedOn w:val="Normal"/>
    <w:link w:val="NotedebasdepageCar"/>
    <w:uiPriority w:val="99"/>
    <w:semiHidden/>
    <w:unhideWhenUsed/>
    <w:rsid w:val="00C63D1B"/>
    <w:pPr>
      <w:spacing w:after="0" w:line="240" w:lineRule="auto"/>
      <w:ind w:right="0" w:firstLine="0"/>
      <w:jc w:val="left"/>
    </w:pPr>
    <w:rPr>
      <w:rFonts w:asciiTheme="minorHAnsi" w:eastAsiaTheme="minorEastAsia" w:hAnsiTheme="minorHAnsi" w:cstheme="minorBidi"/>
      <w:color w:val="auto"/>
      <w:sz w:val="20"/>
      <w:szCs w:val="20"/>
    </w:rPr>
  </w:style>
  <w:style w:type="character" w:customStyle="1" w:styleId="NotedebasdepageCar">
    <w:name w:val="Note de bas de page Car"/>
    <w:basedOn w:val="Policepardfaut"/>
    <w:link w:val="Notedebasdepage"/>
    <w:uiPriority w:val="99"/>
    <w:semiHidden/>
    <w:rsid w:val="00C63D1B"/>
    <w:rPr>
      <w:sz w:val="20"/>
      <w:szCs w:val="20"/>
    </w:rPr>
  </w:style>
  <w:style w:type="character" w:styleId="Appelnotedebasdep">
    <w:name w:val="footnote reference"/>
    <w:basedOn w:val="Policepardfaut"/>
    <w:uiPriority w:val="99"/>
    <w:semiHidden/>
    <w:unhideWhenUsed/>
    <w:rsid w:val="00C63D1B"/>
    <w:rPr>
      <w:vertAlign w:val="superscript"/>
    </w:rPr>
  </w:style>
  <w:style w:type="paragraph" w:styleId="Paragraphedeliste">
    <w:name w:val="List Paragraph"/>
    <w:basedOn w:val="Normal"/>
    <w:uiPriority w:val="34"/>
    <w:qFormat/>
    <w:rsid w:val="003016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8</Pages>
  <Words>2301</Words>
  <Characters>12656</Characters>
  <Application>Microsoft Office Word</Application>
  <DocSecurity>0</DocSecurity>
  <Lines>105</Lines>
  <Paragraphs>29</Paragraphs>
  <ScaleCrop>false</ScaleCrop>
  <Company/>
  <LinksUpToDate>false</LinksUpToDate>
  <CharactersWithSpaces>14928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RMX3261</dc:creator>
  <cp:keywords/>
  <cp:lastModifiedBy>PNet</cp:lastModifiedBy>
  <cp:revision>40</cp:revision>
  <dcterms:created xsi:type="dcterms:W3CDTF">2023-01-10T17:49:00Z</dcterms:created>
  <dcterms:modified xsi:type="dcterms:W3CDTF">2024-02-10T11:46:00Z</dcterms:modified>
</cp:coreProperties>
</file>